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480" w:after="320"/>
        <w:jc w:val="center"/>
      </w:pPr>
      <w:r>
        <w:rPr>
          <w:rFonts w:ascii="Calibri" w:hAnsi="Calibri"/>
          <w:b/>
          <w:color w:val="F48120"/>
          <w:sz w:val="20"/>
        </w:rPr>
        <w:t>FORMACIÓN TÉCNICA</w:t>
      </w:r>
    </w:p>
    <w:p>
      <w:pPr>
        <w:spacing w:after="200"/>
        <w:jc w:val="center"/>
      </w:pPr>
      <w:r>
        <w:rPr>
          <w:rFonts w:ascii="Calibri" w:hAnsi="Calibri"/>
          <w:b/>
          <w:color w:val="17324D"/>
          <w:sz w:val="58"/>
        </w:rPr>
        <w:t>Cloudflare para Conforama</w:t>
      </w:r>
    </w:p>
    <w:p>
      <w:pPr>
        <w:spacing w:after="520"/>
        <w:jc w:val="center"/>
      </w:pPr>
      <w:r>
        <w:rPr>
          <w:rFonts w:ascii="Calibri" w:hAnsi="Calibri"/>
          <w:color w:val="1F4D78"/>
          <w:sz w:val="28"/>
        </w:rPr>
        <w:t>Guía rápida para conversaciones y decisiones</w:t>
      </w:r>
    </w:p>
    <w:p>
      <w:pPr>
        <w:spacing w:after="880"/>
        <w:jc w:val="center"/>
      </w:pPr>
      <w:r>
        <w:rPr>
          <w:rFonts w:ascii="Calibri" w:hAnsi="Calibri"/>
          <w:b/>
          <w:color w:val="667085"/>
          <w:sz w:val="21"/>
        </w:rPr>
        <w:t>Versión 1.0 · Julio de 2026</w:t>
      </w:r>
    </w:p>
    <w:p>
      <w:pPr>
        <w:keepNext/>
        <w:spacing w:before="480" w:after="0"/>
        <w:ind w:left="936" w:right="936"/>
        <w:jc w:val="center"/>
      </w:pPr>
      <w:r>
        <w:rPr>
          <w:rFonts w:ascii="Calibri" w:hAnsi="Calibri"/>
          <w:b w:val="0"/>
          <w:color w:val="667085"/>
          <w:sz w:val="20"/>
        </w:rPr>
        <w:t>Resumen de consulta para explicar la propuesta, hacer las preguntas correctas y reconocer los principales riesgos de la migración.</w:t>
      </w:r>
    </w:p>
    <w:p>
      <w:r>
        <w:br w:type="page"/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La idea en una frase</w:t>
      </w:r>
    </w:p>
    <w:p>
      <w:r>
        <w:rPr>
          <w:rFonts w:ascii="Calibri" w:hAnsi="Calibri"/>
          <w:b w:val="0"/>
          <w:color w:val="17202A"/>
          <w:sz w:val="22"/>
        </w:rPr>
        <w:t>Cloudflare sería el proxy inverso y CDN situado delante de SAP Commerce y del blog: recibiría el tráfico, terminaría TLS, aplicaría seguridad y reglas, respondería desde caché cuando fuera seguro y enviaría el resto al origen correcto.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Arquitectura actual</w:t>
      </w:r>
    </w:p>
    <w:p>
      <w:pPr>
        <w:spacing w:before="120" w:after="160"/>
        <w:jc w:val="center"/>
      </w:pPr>
      <w:r>
        <w:drawing>
          <wp:inline xmlns:a="http://schemas.openxmlformats.org/drawingml/2006/main" xmlns:pic="http://schemas.openxmlformats.org/drawingml/2006/picture">
            <wp:extent cx="5806440" cy="3677412"/>
            <wp:docPr id="1" name="Picture 1" descr="current architecture" title="current architecture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urrent-architectur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3677412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Azure DNS es autoritativo.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Azure Front Door Premium recibe la tienda y la API.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AFD enruta a storefront SAP, API SAP o blog.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El blog viaja AFD → Application Gateway/WAF → nginx/WordPress.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AFD gestiona TLS, redirects, rewrites, caché, origins y health probes.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Arquitectura objetivo candidata</w:t>
      </w:r>
    </w:p>
    <w:p>
      <w:pPr>
        <w:spacing w:before="120" w:after="160"/>
        <w:jc w:val="center"/>
      </w:pPr>
      <w:r>
        <w:drawing>
          <wp:inline xmlns:a="http://schemas.openxmlformats.org/drawingml/2006/main" xmlns:pic="http://schemas.openxmlformats.org/drawingml/2006/picture">
            <wp:extent cx="5806440" cy="3483864"/>
            <wp:docPr id="2" name="Picture 2" descr="target architecture" title="target architecture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arget-architectur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348386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Conservar Azure DNS.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Usar CNAME parcial de Cloudflare Business para los hostnames web.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Cloudflare → SAP storefront/API.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 xml:space="preserve">Cloudflare → Application Gateway → WordPress para </w:t>
      </w:r>
      <w:r>
        <w:rPr>
          <w:rFonts w:ascii="Courier New" w:hAnsi="Courier New"/>
          <w:color w:val="1F4D78"/>
          <w:sz w:val="21"/>
          <w:shd w:fill="EEF2F6"/>
        </w:rPr>
        <w:t>/pt/blog</w:t>
      </w:r>
      <w:r>
        <w:rPr>
          <w:rFonts w:ascii="Calibri" w:hAnsi="Calibri"/>
          <w:b w:val="0"/>
          <w:color w:val="17202A"/>
          <w:sz w:val="22"/>
        </w:rPr>
        <w:t>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Mantener AFD operativo durante estabilización y rollback.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Diez conceptos que debes saber explicar</w:t>
      </w:r>
    </w:p>
    <w:p>
      <w:pPr>
        <w:numPr>
          <w:ilvl w:val="0"/>
          <w:numId w:val="12"/>
        </w:numPr>
      </w:pPr>
      <w:r>
        <w:rPr>
          <w:rFonts w:ascii="Calibri" w:hAnsi="Calibri"/>
          <w:b/>
          <w:color w:val="17202A"/>
          <w:sz w:val="22"/>
        </w:rPr>
        <w:t>Proxy inverso:</w:t>
      </w:r>
      <w:r>
        <w:rPr>
          <w:rFonts w:ascii="Calibri" w:hAnsi="Calibri"/>
          <w:b w:val="0"/>
          <w:color w:val="17202A"/>
          <w:sz w:val="22"/>
        </w:rPr>
        <w:t xml:space="preserve"> recibe peticiones antes que el origen y puede bloquear, cachear o reenviar.</w:t>
      </w:r>
    </w:p>
    <w:p>
      <w:pPr>
        <w:numPr>
          <w:ilvl w:val="0"/>
          <w:numId w:val="12"/>
        </w:numPr>
      </w:pPr>
      <w:r>
        <w:rPr>
          <w:rFonts w:ascii="Calibri" w:hAnsi="Calibri"/>
          <w:b/>
          <w:color w:val="17202A"/>
          <w:sz w:val="22"/>
        </w:rPr>
        <w:t>PoP/edge:</w:t>
      </w:r>
      <w:r>
        <w:rPr>
          <w:rFonts w:ascii="Calibri" w:hAnsi="Calibri"/>
          <w:b w:val="0"/>
          <w:color w:val="17202A"/>
          <w:sz w:val="22"/>
        </w:rPr>
        <w:t xml:space="preserve"> ubicación de Cloudflare cercana al usuario.</w:t>
      </w:r>
    </w:p>
    <w:p>
      <w:pPr>
        <w:numPr>
          <w:ilvl w:val="0"/>
          <w:numId w:val="12"/>
        </w:numPr>
      </w:pPr>
      <w:r>
        <w:rPr>
          <w:rFonts w:ascii="Calibri" w:hAnsi="Calibri"/>
          <w:b/>
          <w:color w:val="17202A"/>
          <w:sz w:val="22"/>
        </w:rPr>
        <w:t>Origen:</w:t>
      </w:r>
      <w:r>
        <w:rPr>
          <w:rFonts w:ascii="Calibri" w:hAnsi="Calibri"/>
          <w:b w:val="0"/>
          <w:color w:val="17202A"/>
          <w:sz w:val="22"/>
        </w:rPr>
        <w:t xml:space="preserve"> SAP storefront, API o Application Gateway/blog.</w:t>
      </w:r>
    </w:p>
    <w:p>
      <w:pPr>
        <w:numPr>
          <w:ilvl w:val="0"/>
          <w:numId w:val="12"/>
        </w:numPr>
      </w:pPr>
      <w:r>
        <w:rPr>
          <w:rFonts w:ascii="Calibri" w:hAnsi="Calibri"/>
          <w:b/>
          <w:color w:val="17202A"/>
          <w:sz w:val="22"/>
        </w:rPr>
        <w:t>Proxied:</w:t>
      </w:r>
      <w:r>
        <w:rPr>
          <w:rFonts w:ascii="Calibri" w:hAnsi="Calibri"/>
          <w:b w:val="0"/>
          <w:color w:val="17202A"/>
          <w:sz w:val="22"/>
        </w:rPr>
        <w:t xml:space="preserve"> el tráfico atraviesa Cloudflare y recibe CDN/WAF/DDoS.</w:t>
      </w:r>
    </w:p>
    <w:p>
      <w:pPr>
        <w:numPr>
          <w:ilvl w:val="0"/>
          <w:numId w:val="12"/>
        </w:numPr>
      </w:pPr>
      <w:r>
        <w:rPr>
          <w:rFonts w:ascii="Calibri" w:hAnsi="Calibri"/>
          <w:b/>
          <w:color w:val="17202A"/>
          <w:sz w:val="22"/>
        </w:rPr>
        <w:t>DNS only:</w:t>
      </w:r>
      <w:r>
        <w:rPr>
          <w:rFonts w:ascii="Calibri" w:hAnsi="Calibri"/>
          <w:b w:val="0"/>
          <w:color w:val="17202A"/>
          <w:sz w:val="22"/>
        </w:rPr>
        <w:t xml:space="preserve"> Cloudflare solo resuelve; el tráfico va directo.</w:t>
      </w:r>
    </w:p>
    <w:p>
      <w:pPr>
        <w:numPr>
          <w:ilvl w:val="0"/>
          <w:numId w:val="12"/>
        </w:numPr>
      </w:pPr>
      <w:r>
        <w:rPr>
          <w:rFonts w:ascii="Calibri" w:hAnsi="Calibri"/>
          <w:b/>
          <w:color w:val="17202A"/>
          <w:sz w:val="22"/>
        </w:rPr>
        <w:t>Cache key:</w:t>
      </w:r>
      <w:r>
        <w:rPr>
          <w:rFonts w:ascii="Calibri" w:hAnsi="Calibri"/>
          <w:b w:val="0"/>
          <w:color w:val="17202A"/>
          <w:sz w:val="22"/>
        </w:rPr>
        <w:t xml:space="preserve"> variables que determinan si dos peticiones comparten respuesta.</w:t>
      </w:r>
    </w:p>
    <w:p>
      <w:pPr>
        <w:numPr>
          <w:ilvl w:val="0"/>
          <w:numId w:val="12"/>
        </w:numPr>
      </w:pPr>
      <w:r>
        <w:rPr>
          <w:rFonts w:ascii="Calibri" w:hAnsi="Calibri"/>
          <w:b/>
          <w:color w:val="17202A"/>
          <w:sz w:val="22"/>
        </w:rPr>
        <w:t>TTL:</w:t>
      </w:r>
      <w:r>
        <w:rPr>
          <w:rFonts w:ascii="Calibri" w:hAnsi="Calibri"/>
          <w:b w:val="0"/>
          <w:color w:val="17202A"/>
          <w:sz w:val="22"/>
        </w:rPr>
        <w:t xml:space="preserve"> tiempo de frescura de una copia.</w:t>
      </w:r>
    </w:p>
    <w:p>
      <w:pPr>
        <w:numPr>
          <w:ilvl w:val="0"/>
          <w:numId w:val="12"/>
        </w:numPr>
      </w:pPr>
      <w:r>
        <w:rPr>
          <w:rFonts w:ascii="Calibri" w:hAnsi="Calibri"/>
          <w:b/>
          <w:color w:val="17202A"/>
          <w:sz w:val="22"/>
        </w:rPr>
        <w:t>Tiered Cache:</w:t>
      </w:r>
      <w:r>
        <w:rPr>
          <w:rFonts w:ascii="Calibri" w:hAnsi="Calibri"/>
          <w:b w:val="0"/>
          <w:color w:val="17202A"/>
          <w:sz w:val="22"/>
        </w:rPr>
        <w:t xml:space="preserve"> un miss del PoP consulta un upper tier antes del origen.</w:t>
      </w:r>
    </w:p>
    <w:p>
      <w:pPr>
        <w:numPr>
          <w:ilvl w:val="0"/>
          <w:numId w:val="12"/>
        </w:numPr>
      </w:pPr>
      <w:r>
        <w:rPr>
          <w:rFonts w:ascii="Calibri" w:hAnsi="Calibri"/>
          <w:b/>
          <w:color w:val="17202A"/>
          <w:sz w:val="22"/>
        </w:rPr>
        <w:t>WAF:</w:t>
      </w:r>
      <w:r>
        <w:rPr>
          <w:rFonts w:ascii="Calibri" w:hAnsi="Calibri"/>
          <w:b w:val="0"/>
          <w:color w:val="17202A"/>
          <w:sz w:val="22"/>
        </w:rPr>
        <w:t xml:space="preserve"> reglas que detectan y mitigan tráfico web malicioso.</w:t>
      </w:r>
    </w:p>
    <w:p>
      <w:pPr>
        <w:numPr>
          <w:ilvl w:val="0"/>
          <w:numId w:val="12"/>
        </w:numPr>
      </w:pPr>
      <w:r>
        <w:rPr>
          <w:rFonts w:ascii="Calibri" w:hAnsi="Calibri"/>
          <w:b/>
          <w:color w:val="17202A"/>
          <w:sz w:val="22"/>
        </w:rPr>
        <w:t>Host/SNI:</w:t>
      </w:r>
      <w:r>
        <w:rPr>
          <w:rFonts w:ascii="Calibri" w:hAnsi="Calibri"/>
          <w:b w:val="0"/>
          <w:color w:val="17202A"/>
          <w:sz w:val="22"/>
        </w:rPr>
        <w:t xml:space="preserve"> nombres que el origen y TLS esperan en la conexión de backend.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Business: qué sí incluye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CDN, TLS y DDoS.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WAF Managed Rules.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100 Custom Rules con regex.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Cinco reglas de rate limiting.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Super Bot Fight Mode.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50 Cache Rules.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Purga por URL, hostname, prefijo y Cache Tag.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Smart Tiered Cache.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CNAME parcial manteniendo Azure DNS.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Chat y tickets de soporte.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Business: gaps que debemos validar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No hay Host/SNI/DNS override avanzado en Origin Rules.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No hay Logpush de requests HTTP.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No hay Bot Management granular con score 1–99.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No hay Regional Tiered Cache.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Rate limiting y cache keys menos avanzados.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Load Balancing/health checks pueden requerir add-on.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Soporte sin prioridad telefónica contractual de Enterprise.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Caché segura para SAP Commerce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Empezar cacheando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Imágenes.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CSS y JavaScript versionados.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Fuentes.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Traducciones estáticas.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robots/sitemaps con TTL y purga.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Bypass obligatorio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Login, cuenta y pedidos.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Carrito y checkout.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Pago y callbacks.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Authorization/tokens.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APIs OCC transaccionales.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Métodos POST/PUT/PATCH/DELETE.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Cookies de sesión o autenticación.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Administración SAP/WordPress.</w:t>
      </w:r>
    </w:p>
    <w:p>
      <w:pPr>
        <w:pStyle w:val="Heading2"/>
      </w:pPr>
      <w:r>
        <w:rPr>
          <w:rFonts w:ascii="Calibri" w:hAnsi="Calibri"/>
          <w:b/>
          <w:color w:val="2E74B5"/>
          <w:sz w:val="26"/>
        </w:rPr>
        <w:t>Probar antes de cachear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Home.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Producto y categoría.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Catálogo OCC.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Precio, stock y promociones.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Localizador de tiendas.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CF-Cache-Status</w:t>
      </w:r>
    </w:p>
    <w:tbl>
      <w:tblPr>
        <w:tblStyle w:val="TableGrid"/>
        <w:tblW w:type="dxa" w:w="9360"/>
        <w:jc w:val="left"/>
        <w:tblLayout w:type="fixed"/>
        <w:tblLook w:firstColumn="1" w:firstRow="1" w:lastColumn="0" w:lastRow="0" w:noHBand="0" w:noVBand="1" w:val="04A0"/>
        <w:tblInd w:w="120" w:type="dxa"/>
      </w:tblPr>
      <w:tblGrid>
        <w:gridCol w:w="2700"/>
        <w:gridCol w:w="6660"/>
      </w:tblGrid>
      <w:tr>
        <w:trPr>
          <w:tblHeader w:val="true"/>
        </w:trP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E8EEF5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/>
                <w:color w:val="17202A"/>
                <w:sz w:val="19"/>
              </w:rPr>
              <w:t>Valor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E8EEF5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/>
                <w:color w:val="17202A"/>
                <w:sz w:val="19"/>
              </w:rPr>
              <w:t>Significado práctico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HIT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Cloudflare reutilizó una copia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MISS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No había copia utilizable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BYPASS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Regla/cabecera excluyó caché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DYNAMIC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No era elegible con la política aplicada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EXPIRED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Copia caducada; se actualizó/revalidó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UPDATING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Se sirvió stale mientras se actualizaba</w:t>
            </w:r>
          </w:p>
        </w:tc>
      </w:tr>
    </w:tbl>
    <w:p>
      <w:pPr>
        <w:spacing w:before="0" w:after="40"/>
      </w:pPr>
    </w:p>
    <w:p>
      <w:r>
        <w:rPr>
          <w:rFonts w:ascii="Calibri" w:hAnsi="Calibri"/>
          <w:b w:val="0"/>
          <w:color w:val="17202A"/>
          <w:sz w:val="22"/>
        </w:rPr>
        <w:t>Un HIT solo es bueno si la respuesta es correcta para ese usuario y contexto.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Tiered Cache</w:t>
      </w:r>
    </w:p>
    <w:p>
      <w:r>
        <w:rPr>
          <w:rFonts w:ascii="Calibri" w:hAnsi="Calibri"/>
          <w:b w:val="0"/>
          <w:color w:val="17202A"/>
          <w:sz w:val="22"/>
        </w:rPr>
        <w:t>Business:</w:t>
      </w:r>
    </w:p>
    <w:p>
      <w:r>
        <w:rPr>
          <w:rFonts w:ascii="Courier New" w:hAnsi="Courier New"/>
          <w:color w:val="1F4D78"/>
          <w:sz w:val="21"/>
          <w:shd w:fill="EEF2F6"/>
        </w:rPr>
        <w:t>Usuario → PoP → upper tier → origen</w:t>
      </w:r>
    </w:p>
    <w:p>
      <w:r>
        <w:rPr>
          <w:rFonts w:ascii="Calibri" w:hAnsi="Calibri"/>
          <w:b w:val="0"/>
          <w:color w:val="17202A"/>
          <w:sz w:val="22"/>
        </w:rPr>
        <w:t>Enterprise con Regional Tiered Cache:</w:t>
      </w:r>
    </w:p>
    <w:p>
      <w:r>
        <w:rPr>
          <w:rFonts w:ascii="Courier New" w:hAnsi="Courier New"/>
          <w:color w:val="1F4D78"/>
          <w:sz w:val="21"/>
          <w:shd w:fill="EEF2F6"/>
        </w:rPr>
        <w:t>Usuario → PoP → hub regional → upper tier → origen</w:t>
      </w:r>
    </w:p>
    <w:p>
      <w:r>
        <w:rPr>
          <w:rFonts w:ascii="Calibri" w:hAnsi="Calibri"/>
          <w:b w:val="0"/>
          <w:color w:val="17202A"/>
          <w:sz w:val="22"/>
        </w:rPr>
        <w:t>Business ya reduce accesos al origen. Enterprise añade más control/topología.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Preguntas críticas antes de decidir</w:t>
      </w:r>
    </w:p>
    <w:p>
      <w:pPr>
        <w:numPr>
          <w:ilvl w:val="0"/>
          <w:numId w:val="13"/>
        </w:numPr>
      </w:pPr>
      <w:r>
        <w:rPr>
          <w:rFonts w:ascii="Calibri" w:hAnsi="Calibri"/>
          <w:b w:val="0"/>
          <w:color w:val="17202A"/>
          <w:sz w:val="22"/>
        </w:rPr>
        <w:t>¿AFD sobrescribe Host o SNI para llegar a SAP o Application Gateway?</w:t>
      </w:r>
    </w:p>
    <w:p>
      <w:pPr>
        <w:numPr>
          <w:ilvl w:val="0"/>
          <w:numId w:val="13"/>
        </w:numPr>
      </w:pPr>
      <w:r>
        <w:rPr>
          <w:rFonts w:ascii="Calibri" w:hAnsi="Calibri"/>
          <w:b w:val="0"/>
          <w:color w:val="17202A"/>
          <w:sz w:val="22"/>
        </w:rPr>
        <w:t>¿Cuántos orígenes reales hay y qué health checks/failover se usan?</w:t>
      </w:r>
    </w:p>
    <w:p>
      <w:pPr>
        <w:numPr>
          <w:ilvl w:val="0"/>
          <w:numId w:val="13"/>
        </w:numPr>
      </w:pPr>
      <w:r>
        <w:rPr>
          <w:rFonts w:ascii="Calibri" w:hAnsi="Calibri"/>
          <w:b w:val="0"/>
          <w:color w:val="17202A"/>
          <w:sz w:val="22"/>
        </w:rPr>
        <w:t>¿Qué cookies y rutas determinan sesión o personalización?</w:t>
      </w:r>
    </w:p>
    <w:p>
      <w:pPr>
        <w:numPr>
          <w:ilvl w:val="0"/>
          <w:numId w:val="13"/>
        </w:numPr>
      </w:pPr>
      <w:r>
        <w:rPr>
          <w:rFonts w:ascii="Calibri" w:hAnsi="Calibri"/>
          <w:b w:val="0"/>
          <w:color w:val="17202A"/>
          <w:sz w:val="22"/>
        </w:rPr>
        <w:t>¿Qué query strings son funcionales y cuáles solo tracking?</w:t>
      </w:r>
    </w:p>
    <w:p>
      <w:pPr>
        <w:numPr>
          <w:ilvl w:val="0"/>
          <w:numId w:val="13"/>
        </w:numPr>
      </w:pPr>
      <w:r>
        <w:rPr>
          <w:rFonts w:ascii="Calibri" w:hAnsi="Calibri"/>
          <w:b w:val="0"/>
          <w:color w:val="17202A"/>
          <w:sz w:val="22"/>
        </w:rPr>
        <w:t>¿Qué páginas cambian por precio, stock, mercado o promoción?</w:t>
      </w:r>
    </w:p>
    <w:p>
      <w:pPr>
        <w:numPr>
          <w:ilvl w:val="0"/>
          <w:numId w:val="13"/>
        </w:numPr>
      </w:pPr>
      <w:r>
        <w:rPr>
          <w:rFonts w:ascii="Calibri" w:hAnsi="Calibri"/>
          <w:b w:val="0"/>
          <w:color w:val="17202A"/>
          <w:sz w:val="22"/>
        </w:rPr>
        <w:t>¿Qué redirects/rewrites existen y en qué orden?</w:t>
      </w:r>
    </w:p>
    <w:p>
      <w:pPr>
        <w:numPr>
          <w:ilvl w:val="0"/>
          <w:numId w:val="13"/>
        </w:numPr>
      </w:pPr>
      <w:r>
        <w:rPr>
          <w:rFonts w:ascii="Calibri" w:hAnsi="Calibri"/>
          <w:b w:val="0"/>
          <w:color w:val="17202A"/>
          <w:sz w:val="22"/>
        </w:rPr>
        <w:t>¿Cómo se validará el acceso al blog desde Cloudflare?</w:t>
      </w:r>
    </w:p>
    <w:p>
      <w:pPr>
        <w:numPr>
          <w:ilvl w:val="0"/>
          <w:numId w:val="13"/>
        </w:numPr>
      </w:pPr>
      <w:r>
        <w:rPr>
          <w:rFonts w:ascii="Calibri" w:hAnsi="Calibri"/>
          <w:b w:val="0"/>
          <w:color w:val="17202A"/>
          <w:sz w:val="22"/>
        </w:rPr>
        <w:t>¿Qué logs necesitamos durante una incidencia?</w:t>
      </w:r>
    </w:p>
    <w:p>
      <w:pPr>
        <w:numPr>
          <w:ilvl w:val="0"/>
          <w:numId w:val="13"/>
        </w:numPr>
      </w:pPr>
      <w:r>
        <w:rPr>
          <w:rFonts w:ascii="Calibri" w:hAnsi="Calibri"/>
          <w:b w:val="0"/>
          <w:color w:val="17202A"/>
          <w:sz w:val="22"/>
        </w:rPr>
        <w:t>¿Qué add-ons usa Suiza con Business?</w:t>
      </w:r>
    </w:p>
    <w:p>
      <w:pPr>
        <w:numPr>
          <w:ilvl w:val="0"/>
          <w:numId w:val="13"/>
        </w:numPr>
      </w:pPr>
      <w:r>
        <w:rPr>
          <w:rFonts w:ascii="Calibri" w:hAnsi="Calibri"/>
          <w:b w:val="0"/>
          <w:color w:val="17202A"/>
          <w:sz w:val="22"/>
        </w:rPr>
        <w:t>¿Cuál es el rollback y quién lo decide?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Riesgos principales</w:t>
      </w:r>
    </w:p>
    <w:tbl>
      <w:tblPr>
        <w:tblStyle w:val="TableGrid"/>
        <w:tblW w:type="dxa" w:w="9360"/>
        <w:jc w:val="left"/>
        <w:tblLayout w:type="fixed"/>
        <w:tblLook w:firstColumn="1" w:firstRow="1" w:lastColumn="0" w:lastRow="0" w:noHBand="0" w:noVBand="1" w:val="04A0"/>
        <w:tblInd w:w="120" w:type="dxa"/>
      </w:tblPr>
      <w:tblGrid>
        <w:gridCol w:w="2700"/>
        <w:gridCol w:w="6660"/>
      </w:tblGrid>
      <w:tr>
        <w:trPr>
          <w:tblHeader w:val="true"/>
        </w:trP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E8EEF5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/>
                <w:color w:val="17202A"/>
                <w:sz w:val="19"/>
              </w:rPr>
              <w:t>Riesgo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shd w:fill="E8EEF5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/>
                <w:color w:val="17202A"/>
                <w:sz w:val="19"/>
              </w:rPr>
              <w:t>Prevención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Contenido de un usuario servido a otro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Bypass por rutas, cookies y Authorization; pruebas cruzadas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Precio/stock antiguo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TTL aceptado + purga + métricas funcionales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Origen no acepta conexión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Validar Host, SNI, certificado y dominio personalizado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WAF bloquea checkout/API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Despliegue conservador, eventos y excepciones limitadas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Pérdida de IP real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CF-Connecting-IP y trusted proxies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Blog entra en bucle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Probar Host, redirect canónico y cadena de proxies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Sin diagnóstico suficiente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Acordar logs antes del cambio</w:t>
            </w:r>
          </w:p>
        </w:tc>
      </w:tr>
      <w:tr>
        <w:tc>
          <w:tcPr>
            <w:tcW w:type="dxa" w:w="270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Rollback lento</w:t>
            </w:r>
          </w:p>
        </w:tc>
        <w:tc>
          <w:tcPr>
            <w:tcW w:type="dxa" w:w="6660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</w:tcPr>
          <w:p>
            <w:pPr>
              <w:spacing w:before="0" w:after="0" w:line="276" w:lineRule="auto"/>
            </w:pPr>
            <w:r>
              <w:rPr>
                <w:rFonts w:ascii="Calibri" w:hAnsi="Calibri"/>
                <w:b w:val="0"/>
                <w:color w:val="17202A"/>
                <w:sz w:val="19"/>
              </w:rPr>
              <w:t>TTL bajo y AFD operativo</w:t>
            </w:r>
          </w:p>
        </w:tc>
      </w:tr>
    </w:tbl>
    <w:p>
      <w:pPr>
        <w:spacing w:before="0" w:after="40"/>
      </w:pP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Plan recomendado</w:t>
      </w:r>
    </w:p>
    <w:p>
      <w:pPr>
        <w:numPr>
          <w:ilvl w:val="0"/>
          <w:numId w:val="14"/>
        </w:numPr>
      </w:pPr>
      <w:r>
        <w:rPr>
          <w:rFonts w:ascii="Calibri" w:hAnsi="Calibri"/>
          <w:b w:val="0"/>
          <w:color w:val="17202A"/>
          <w:sz w:val="22"/>
        </w:rPr>
        <w:t>Obtener configuración y lecciones de Suiza.</w:t>
      </w:r>
    </w:p>
    <w:p>
      <w:pPr>
        <w:numPr>
          <w:ilvl w:val="0"/>
          <w:numId w:val="14"/>
        </w:numPr>
      </w:pPr>
      <w:r>
        <w:rPr>
          <w:rFonts w:ascii="Calibri" w:hAnsi="Calibri"/>
          <w:b w:val="0"/>
          <w:color w:val="17202A"/>
          <w:sz w:val="22"/>
        </w:rPr>
        <w:t>Inventariar AFD.</w:t>
      </w:r>
    </w:p>
    <w:p>
      <w:pPr>
        <w:numPr>
          <w:ilvl w:val="0"/>
          <w:numId w:val="14"/>
        </w:numPr>
      </w:pPr>
      <w:r>
        <w:rPr>
          <w:rFonts w:ascii="Calibri" w:hAnsi="Calibri"/>
          <w:b w:val="0"/>
          <w:color w:val="17202A"/>
          <w:sz w:val="22"/>
        </w:rPr>
        <w:t>Resolver gaps Business.</w:t>
      </w:r>
    </w:p>
    <w:p>
      <w:pPr>
        <w:numPr>
          <w:ilvl w:val="0"/>
          <w:numId w:val="14"/>
        </w:numPr>
      </w:pPr>
      <w:r>
        <w:rPr>
          <w:rFonts w:ascii="Calibri" w:hAnsi="Calibri"/>
          <w:b w:val="0"/>
          <w:color w:val="17202A"/>
          <w:sz w:val="22"/>
        </w:rPr>
        <w:t>Crear CNAME parcial y entorno de prueba.</w:t>
      </w:r>
    </w:p>
    <w:p>
      <w:pPr>
        <w:numPr>
          <w:ilvl w:val="0"/>
          <w:numId w:val="14"/>
        </w:numPr>
      </w:pPr>
      <w:r>
        <w:rPr>
          <w:rFonts w:ascii="Calibri" w:hAnsi="Calibri"/>
          <w:b w:val="0"/>
          <w:color w:val="17202A"/>
          <w:sz w:val="22"/>
        </w:rPr>
        <w:t>Migrar reglas funcionales sin caché dinámica.</w:t>
      </w:r>
    </w:p>
    <w:p>
      <w:pPr>
        <w:numPr>
          <w:ilvl w:val="0"/>
          <w:numId w:val="14"/>
        </w:numPr>
      </w:pPr>
      <w:r>
        <w:rPr>
          <w:rFonts w:ascii="Calibri" w:hAnsi="Calibri"/>
          <w:b w:val="0"/>
          <w:color w:val="17202A"/>
          <w:sz w:val="22"/>
        </w:rPr>
        <w:t>Probar journeys completos.</w:t>
      </w:r>
    </w:p>
    <w:p>
      <w:pPr>
        <w:numPr>
          <w:ilvl w:val="0"/>
          <w:numId w:val="14"/>
        </w:numPr>
      </w:pPr>
      <w:r>
        <w:rPr>
          <w:rFonts w:ascii="Calibri" w:hAnsi="Calibri"/>
          <w:b w:val="0"/>
          <w:color w:val="17202A"/>
          <w:sz w:val="22"/>
        </w:rPr>
        <w:t>Cambiar producción con AFD disponible.</w:t>
      </w:r>
    </w:p>
    <w:p>
      <w:pPr>
        <w:numPr>
          <w:ilvl w:val="0"/>
          <w:numId w:val="14"/>
        </w:numPr>
      </w:pPr>
      <w:r>
        <w:rPr>
          <w:rFonts w:ascii="Calibri" w:hAnsi="Calibri"/>
          <w:b w:val="0"/>
          <w:color w:val="17202A"/>
          <w:sz w:val="22"/>
        </w:rPr>
        <w:t>Activar Tiered Cache y caché avanzada gradualmente.</w:t>
      </w:r>
    </w:p>
    <w:p>
      <w:pPr>
        <w:numPr>
          <w:ilvl w:val="0"/>
          <w:numId w:val="14"/>
        </w:numPr>
      </w:pPr>
      <w:r>
        <w:rPr>
          <w:rFonts w:ascii="Calibri" w:hAnsi="Calibri"/>
          <w:b w:val="0"/>
          <w:color w:val="17202A"/>
          <w:sz w:val="22"/>
        </w:rPr>
        <w:t>Proteger orígenes y retirar AFD después de estabilizar.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Qué medir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TTFB p50/p95/p99.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Hit ratio por tipo de contenido.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Requests a SAP y blog.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4xx/5xx.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Bloqueos WAF/bots.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Core Web Vitals.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Login, carrito, checkout y conversión.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Precio, stock y promociones.</w:t>
      </w:r>
    </w:p>
    <w:p>
      <w:pPr>
        <w:numPr>
          <w:ilvl w:val="0"/>
          <w:numId w:val="10"/>
        </w:numPr>
      </w:pPr>
      <w:r>
        <w:rPr>
          <w:rFonts w:ascii="Calibri" w:hAnsi="Calibri"/>
          <w:b w:val="0"/>
          <w:color w:val="17202A"/>
          <w:sz w:val="22"/>
        </w:rPr>
        <w:t>Rastreo SEO.</w:t>
      </w:r>
    </w:p>
    <w:p>
      <w:pPr>
        <w:pStyle w:val="Heading1"/>
      </w:pPr>
      <w:r>
        <w:rPr>
          <w:rFonts w:ascii="Calibri" w:hAnsi="Calibri"/>
          <w:b/>
          <w:color w:val="2E74B5"/>
          <w:sz w:val="32"/>
        </w:rPr>
        <w:t>Posición recomendada</w:t>
      </w:r>
    </w:p>
    <w:p>
      <w:r>
        <w:rPr>
          <w:rFonts w:ascii="Calibri" w:hAnsi="Calibri"/>
          <w:b w:val="0"/>
          <w:color w:val="17202A"/>
          <w:sz w:val="22"/>
        </w:rPr>
        <w:t>Cloudflare Business es una opción razonable para un piloto sobre conforama.pt si los orígenes funcionan sin overrides Enterprise, la observabilidad disponible es suficiente y el equipo suizo puede aportar su patrón. Enterprise debe justificarse por gaps concretos —soporte, logs, bots, origen, topología o gobierno— y no solo porque incluya onboarding.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0"/>
      <w:jc w:val="right"/>
    </w:pPr>
    <w:r>
      <w:rPr>
        <w:rFonts w:ascii="Calibri" w:hAnsi="Calibri"/>
        <w:color w:val="667085"/>
        <w:sz w:val="17"/>
      </w:rPr>
      <w:t xml:space="preserve">Página </w:t>
    </w:r>
    <w:r>
      <w:fldChar w:fldCharType="begin"/>
      <w:instrText xml:space="preserve">PAGE</w:instrText>
      <w:fldChar w:fldCharType="separate"/>
      <w:t>1</w: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after="0"/>
      <w:jc w:val="left"/>
      <w:pBdr>
        <w:bottom w:val="single" w:sz="4" w:space="4" w:color="D8DEE6"/>
      </w:pBdr>
    </w:pPr>
    <w:r>
      <w:rPr>
        <w:rFonts w:ascii="Calibri" w:hAnsi="Calibri"/>
        <w:b/>
        <w:color w:val="667085"/>
        <w:sz w:val="17"/>
      </w:rPr>
      <w:t>Guía rápida Cloudflare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abstractNum w:abstractNumId="9">
    <w:multiLevelType w:val="singleLevel"/>
    <w:lvl w:ilvl="0">
      <w:start w:val="1"/>
      <w:numFmt w:val="bullet"/>
      <w:lvlText w:val="•"/>
      <w:lvlJc w:val="left"/>
      <w:pPr>
        <w:tabs>
          <w:tab w:val="num" w:pos="540"/>
        </w:tabs>
        <w:ind w:left="540" w:hanging="270"/>
        <w:spacing w:after="80" w:line="300" w:lineRule="auto"/>
      </w:pPr>
      <w:rPr>
        <w:rFonts w:ascii="Calibri" w:hAnsi="Calibri"/>
      </w:rPr>
    </w:lvl>
  </w:abstractNum>
  <w:num w:numId="10">
    <w:abstractNumId w:val="9"/>
  </w:num>
  <w:abstractNum w:abstractNumId="10">
    <w:multiLevelType w:val="singleLevel"/>
    <w:lvl w:ilvl="0">
      <w:start w:val="1"/>
      <w:numFmt w:val="bullet"/>
      <w:lvlText w:val="☐"/>
      <w:lvlJc w:val="left"/>
      <w:pPr>
        <w:tabs>
          <w:tab w:val="num" w:pos="540"/>
        </w:tabs>
        <w:ind w:left="540" w:hanging="270"/>
        <w:spacing w:after="80" w:line="300" w:lineRule="auto"/>
      </w:pPr>
      <w:rPr>
        <w:rFonts w:ascii="Calibri" w:hAnsi="Calibri"/>
      </w:rPr>
    </w:lvl>
  </w:abstractNum>
  <w:num w:numId="11">
    <w:abstractNumId w:val="10"/>
  </w:num>
  <w:abstractNum w:abstractNumId="11">
    <w:multiLevelType w:val="singleLevel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270"/>
        <w:spacing w:after="80" w:line="300" w:lineRule="auto"/>
      </w:pPr>
      <w:rPr>
        <w:rFonts w:ascii="Calibri" w:hAnsi="Calibri"/>
      </w:rPr>
    </w:lvl>
  </w:abstractNum>
  <w:num w:numId="12">
    <w:abstractNumId w:val="11"/>
  </w:num>
  <w:abstractNum w:abstractNumId="12">
    <w:multiLevelType w:val="singleLevel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270"/>
        <w:spacing w:after="80" w:line="300" w:lineRule="auto"/>
      </w:pPr>
      <w:rPr>
        <w:rFonts w:ascii="Calibri" w:hAnsi="Calibri"/>
      </w:rPr>
    </w:lvl>
  </w:abstractNum>
  <w:num w:numId="13">
    <w:abstractNumId w:val="12"/>
  </w:num>
  <w:abstractNum w:abstractNumId="13">
    <w:multiLevelType w:val="singleLevel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270"/>
        <w:spacing w:after="80" w:line="300" w:lineRule="auto"/>
      </w:pPr>
      <w:rPr>
        <w:rFonts w:ascii="Calibri" w:hAnsi="Calibri"/>
      </w:rPr>
    </w:lvl>
  </w:abstract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before="0" w:after="120" w:line="300" w:lineRule="auto"/>
    </w:pPr>
    <w:rPr>
      <w:rFonts w:ascii="Calibri" w:hAnsi="Calibri"/>
      <w:color w:val="17202A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360" w:after="200"/>
      <w:outlineLvl w:val="0"/>
    </w:pPr>
    <w:rPr>
      <w:rFonts w:asciiTheme="majorHAnsi" w:eastAsiaTheme="majorEastAsia" w:hAnsiTheme="majorHAnsi" w:cstheme="majorBidi" w:ascii="Calibri" w:hAnsi="Calibri"/>
      <w:b/>
      <w:bCs/>
      <w:color w:val="2E74B5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80" w:after="140"/>
      <w:outlineLvl w:val="1"/>
    </w:pPr>
    <w:rPr>
      <w:rFonts w:asciiTheme="majorHAnsi" w:eastAsiaTheme="majorEastAsia" w:hAnsiTheme="majorHAnsi" w:cstheme="majorBidi" w:ascii="Calibri" w:hAnsi="Calibri"/>
      <w:b/>
      <w:bCs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100"/>
      <w:outlineLvl w:val="2"/>
    </w:pPr>
    <w:rPr>
      <w:rFonts w:asciiTheme="majorHAnsi" w:eastAsiaTheme="majorEastAsia" w:hAnsiTheme="majorHAnsi" w:cstheme="majorBidi" w:ascii="Calibri" w:hAnsi="Calibri"/>
      <w:b/>
      <w:bCs/>
      <w:color w:val="1F4D78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png"/><Relationship Id="rId1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Cloudflare para Conforama</dc:title>
  <dc:subject>Guía rápida para conversaciones y decisiones</dc:subject>
  <dc:creator>Curso de formación Cloudflare para Conforama</dc:creator>
  <cp:keywords>Cloudflare, SAP Commerce, Azure Front Door, CDN, WAF, caché</cp:keywords>
  <dc:description>Generado a partir de documentación pública y contexto funcional anonimizado.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