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spacing w:before="1480" w:after="320"/>
        <w:jc w:val="center"/>
      </w:pPr>
      <w:r>
        <w:rPr>
          <w:rFonts w:ascii="Calibri" w:hAnsi="Calibri"/>
          <w:b/>
          <w:color w:val="F48120"/>
          <w:sz w:val="20"/>
        </w:rPr>
        <w:t>FORMACIÓN TÉCNICA</w:t>
      </w:r>
    </w:p>
    <w:p>
      <w:pPr>
        <w:spacing w:after="200"/>
        <w:jc w:val="center"/>
      </w:pPr>
      <w:r>
        <w:rPr>
          <w:rFonts w:ascii="Calibri" w:hAnsi="Calibri"/>
          <w:b/>
          <w:color w:val="17324D"/>
          <w:sz w:val="58"/>
        </w:rPr>
        <w:t>Guía de migración</w:t>
      </w:r>
    </w:p>
    <w:p>
      <w:pPr>
        <w:spacing w:after="520"/>
        <w:jc w:val="center"/>
      </w:pPr>
      <w:r>
        <w:rPr>
          <w:rFonts w:ascii="Calibri" w:hAnsi="Calibri"/>
          <w:color w:val="1F4D78"/>
          <w:sz w:val="28"/>
        </w:rPr>
        <w:t>Azure Front Door Premium → Cloudflare Business para un ecommerce SAP Commerce</w:t>
      </w:r>
    </w:p>
    <w:p>
      <w:pPr>
        <w:spacing w:after="880"/>
        <w:jc w:val="center"/>
      </w:pPr>
      <w:r>
        <w:rPr>
          <w:rFonts w:ascii="Calibri" w:hAnsi="Calibri"/>
          <w:b/>
          <w:color w:val="667085"/>
          <w:sz w:val="21"/>
        </w:rPr>
        <w:t>Versión 1.0 · Julio de 2026</w:t>
      </w:r>
    </w:p>
    <w:p>
      <w:pPr>
        <w:keepNext/>
        <w:spacing w:before="480" w:after="0"/>
        <w:ind w:left="936" w:right="936"/>
        <w:jc w:val="center"/>
      </w:pPr>
      <w:r>
        <w:rPr>
          <w:rFonts w:ascii="Calibri" w:hAnsi="Calibri"/>
          <w:b w:val="0"/>
          <w:color w:val="667085"/>
          <w:sz w:val="20"/>
        </w:rPr>
        <w:t>Runbook formativo y anonimizado. Antes de un cambio real debe completarse con inventario, valores técnicos, responsables y evidencias internas.</w:t>
      </w:r>
    </w:p>
    <w:p>
      <w:r>
        <w:br w:type="page"/>
      </w:r>
    </w:p>
    <w:p>
      <w:pPr>
        <w:pStyle w:val="Heading1"/>
      </w:pPr>
      <w:r>
        <w:rPr>
          <w:rFonts w:ascii="Calibri" w:hAnsi="Calibri"/>
          <w:b/>
          <w:color w:val="2E74B5"/>
          <w:sz w:val="32"/>
        </w:rPr>
        <w:t>1. Decisión de partida</w:t>
      </w:r>
    </w:p>
    <w:p>
      <w:r>
        <w:rPr>
          <w:rFonts w:ascii="Calibri" w:hAnsi="Calibri"/>
          <w:b w:val="0"/>
          <w:color w:val="17202A"/>
          <w:sz w:val="22"/>
        </w:rPr>
        <w:t>La migración no consiste en trasladar un único CNAME. Azure Front Door realiza actualmente seis trabajos:</w:t>
      </w:r>
    </w:p>
    <w:p>
      <w:pPr>
        <w:numPr>
          <w:ilvl w:val="0"/>
          <w:numId w:val="12"/>
        </w:numPr>
      </w:pPr>
      <w:r>
        <w:rPr>
          <w:rFonts w:ascii="Calibri" w:hAnsi="Calibri"/>
          <w:b w:val="0"/>
          <w:color w:val="17202A"/>
          <w:sz w:val="22"/>
        </w:rPr>
        <w:t>Terminación TLS.</w:t>
      </w:r>
    </w:p>
    <w:p>
      <w:pPr>
        <w:numPr>
          <w:ilvl w:val="0"/>
          <w:numId w:val="12"/>
        </w:numPr>
      </w:pPr>
      <w:r>
        <w:rPr>
          <w:rFonts w:ascii="Calibri" w:hAnsi="Calibri"/>
          <w:b w:val="0"/>
          <w:color w:val="17202A"/>
          <w:sz w:val="22"/>
        </w:rPr>
        <w:t>Enrutado por dominio y ruta.</w:t>
      </w:r>
    </w:p>
    <w:p>
      <w:pPr>
        <w:numPr>
          <w:ilvl w:val="0"/>
          <w:numId w:val="12"/>
        </w:numPr>
      </w:pPr>
      <w:r>
        <w:rPr>
          <w:rFonts w:ascii="Calibri" w:hAnsi="Calibri"/>
          <w:b w:val="0"/>
          <w:color w:val="17202A"/>
          <w:sz w:val="22"/>
        </w:rPr>
        <w:t>Selección y monitorización de orígenes.</w:t>
      </w:r>
    </w:p>
    <w:p>
      <w:pPr>
        <w:numPr>
          <w:ilvl w:val="0"/>
          <w:numId w:val="12"/>
        </w:numPr>
      </w:pPr>
      <w:r>
        <w:rPr>
          <w:rFonts w:ascii="Calibri" w:hAnsi="Calibri"/>
          <w:b w:val="0"/>
          <w:color w:val="17202A"/>
          <w:sz w:val="22"/>
        </w:rPr>
        <w:t>Redirecciones y reescrituras.</w:t>
      </w:r>
    </w:p>
    <w:p>
      <w:pPr>
        <w:numPr>
          <w:ilvl w:val="0"/>
          <w:numId w:val="12"/>
        </w:numPr>
      </w:pPr>
      <w:r>
        <w:rPr>
          <w:rFonts w:ascii="Calibri" w:hAnsi="Calibri"/>
          <w:b w:val="0"/>
          <w:color w:val="17202A"/>
          <w:sz w:val="22"/>
        </w:rPr>
        <w:t>Caché diferenciada.</w:t>
      </w:r>
    </w:p>
    <w:p>
      <w:pPr>
        <w:numPr>
          <w:ilvl w:val="0"/>
          <w:numId w:val="12"/>
        </w:numPr>
      </w:pPr>
      <w:r>
        <w:rPr>
          <w:rFonts w:ascii="Calibri" w:hAnsi="Calibri"/>
          <w:b w:val="0"/>
          <w:color w:val="17202A"/>
          <w:sz w:val="22"/>
        </w:rPr>
        <w:t>Aplicación de controles de seguridad.</w:t>
      </w:r>
    </w:p>
    <w:p>
      <w:r>
        <w:rPr>
          <w:rFonts w:ascii="Calibri" w:hAnsi="Calibri"/>
          <w:b w:val="0"/>
          <w:color w:val="17202A"/>
          <w:sz w:val="22"/>
        </w:rPr>
        <w:t>Cloudflare Business puede cubrir gran parte de estas funciones, pero deben validarse tres gaps antes de aprobar el cambio:</w:t>
      </w:r>
    </w:p>
    <w:p>
      <w:pPr>
        <w:numPr>
          <w:ilvl w:val="0"/>
          <w:numId w:val="10"/>
        </w:numPr>
      </w:pPr>
      <w:r>
        <w:rPr>
          <w:rFonts w:ascii="Calibri" w:hAnsi="Calibri"/>
          <w:b w:val="0"/>
          <w:color w:val="17202A"/>
          <w:sz w:val="22"/>
        </w:rPr>
        <w:t>Host/SNI/destino DNS requerido por cada origen.</w:t>
      </w:r>
    </w:p>
    <w:p>
      <w:pPr>
        <w:numPr>
          <w:ilvl w:val="0"/>
          <w:numId w:val="10"/>
        </w:numPr>
      </w:pPr>
      <w:r>
        <w:rPr>
          <w:rFonts w:ascii="Calibri" w:hAnsi="Calibri"/>
          <w:b w:val="0"/>
          <w:color w:val="17202A"/>
          <w:sz w:val="22"/>
        </w:rPr>
        <w:t>Necesidad de Load Balancing y health checks como add-on.</w:t>
      </w:r>
    </w:p>
    <w:p>
      <w:pPr>
        <w:numPr>
          <w:ilvl w:val="0"/>
          <w:numId w:val="10"/>
        </w:numPr>
      </w:pPr>
      <w:r>
        <w:rPr>
          <w:rFonts w:ascii="Calibri" w:hAnsi="Calibri"/>
          <w:b w:val="0"/>
          <w:color w:val="17202A"/>
          <w:sz w:val="22"/>
        </w:rPr>
        <w:t>Requisitos de logs HTTP, soporte y forense que Business no cubre como Enterprise.</w:t>
      </w:r>
    </w:p>
    <w:p>
      <w:pPr>
        <w:spacing w:before="120" w:after="200"/>
        <w:ind w:left="259" w:right="144"/>
        <w:shd w:fill="F4F6F9"/>
        <w:pBdr>
          <w:left w:val="single" w:sz="18" w:space="8" w:color="F48120"/>
        </w:pBdr>
      </w:pPr>
      <w:r>
        <w:rPr>
          <w:rFonts w:ascii="Calibri" w:hAnsi="Calibri"/>
          <w:b w:val="0"/>
          <w:color w:val="17324D"/>
          <w:sz w:val="21"/>
        </w:rPr>
        <w:t>Recomendación inicial: conservar Azure DNS y estudiar una configuración CNAME parcial para el piloto. Mantener Azure Front Door operativo hasta superar un periodo de estabilización acordado.</w:t>
      </w:r>
    </w:p>
    <w:p>
      <w:pPr>
        <w:pStyle w:val="Heading1"/>
      </w:pPr>
      <w:r>
        <w:rPr>
          <w:rFonts w:ascii="Calibri" w:hAnsi="Calibri"/>
          <w:b/>
          <w:color w:val="2E74B5"/>
          <w:sz w:val="32"/>
        </w:rPr>
        <w:t>2. Arquitectura actual de referencia</w:t>
      </w:r>
    </w:p>
    <w:p>
      <w:pPr>
        <w:spacing w:before="120" w:after="160"/>
        <w:jc w:val="center"/>
      </w:pPr>
      <w:r>
        <w:drawing>
          <wp:inline xmlns:a="http://schemas.openxmlformats.org/drawingml/2006/main" xmlns:pic="http://schemas.openxmlformats.org/drawingml/2006/picture">
            <wp:extent cx="5806440" cy="3677412"/>
            <wp:docPr id="1" name="Picture 1" descr="current architecture" title="current architecture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current-architecture.png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806440" cy="3677412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r>
        <w:rPr>
          <w:rFonts w:ascii="Calibri" w:hAnsi="Calibri"/>
          <w:b w:val="0"/>
          <w:color w:val="17202A"/>
          <w:sz w:val="22"/>
        </w:rPr>
        <w:t>Componentes:</w:t>
      </w:r>
    </w:p>
    <w:p>
      <w:pPr>
        <w:numPr>
          <w:ilvl w:val="0"/>
          <w:numId w:val="10"/>
        </w:numPr>
      </w:pPr>
      <w:r>
        <w:rPr>
          <w:rFonts w:ascii="Calibri" w:hAnsi="Calibri"/>
          <w:b w:val="0"/>
          <w:color w:val="17202A"/>
          <w:sz w:val="22"/>
        </w:rPr>
        <w:t>Azure DNS autoritativo.</w:t>
      </w:r>
    </w:p>
    <w:p>
      <w:pPr>
        <w:numPr>
          <w:ilvl w:val="0"/>
          <w:numId w:val="10"/>
        </w:numPr>
      </w:pPr>
      <w:r>
        <w:rPr>
          <w:rFonts w:ascii="Calibri" w:hAnsi="Calibri"/>
          <w:b w:val="0"/>
          <w:color w:val="17202A"/>
          <w:sz w:val="22"/>
        </w:rPr>
        <w:t>Azure Front Door Premium como entrada principal.</w:t>
      </w:r>
    </w:p>
    <w:p>
      <w:pPr>
        <w:numPr>
          <w:ilvl w:val="0"/>
          <w:numId w:val="10"/>
        </w:numPr>
      </w:pPr>
      <w:r>
        <w:rPr>
          <w:rFonts w:ascii="Calibri" w:hAnsi="Calibri"/>
          <w:b w:val="0"/>
          <w:color w:val="17202A"/>
          <w:sz w:val="22"/>
        </w:rPr>
        <w:t>Storefront composable de SAP Commerce.</w:t>
      </w:r>
    </w:p>
    <w:p>
      <w:pPr>
        <w:numPr>
          <w:ilvl w:val="0"/>
          <w:numId w:val="10"/>
        </w:numPr>
      </w:pPr>
      <w:r>
        <w:rPr>
          <w:rFonts w:ascii="Calibri" w:hAnsi="Calibri"/>
          <w:b w:val="0"/>
          <w:color w:val="17202A"/>
          <w:sz w:val="22"/>
        </w:rPr>
        <w:t>API de comercio SAP/OCC.</w:t>
      </w:r>
    </w:p>
    <w:p>
      <w:pPr>
        <w:numPr>
          <w:ilvl w:val="0"/>
          <w:numId w:val="10"/>
        </w:numPr>
      </w:pPr>
      <w:r>
        <w:rPr>
          <w:rFonts w:ascii="Calibri" w:hAnsi="Calibri"/>
          <w:b w:val="0"/>
          <w:color w:val="17202A"/>
          <w:sz w:val="22"/>
        </w:rPr>
        <w:t>Azure Application Gateway con WAF para la plataforma anterior y el blog.</w:t>
      </w:r>
    </w:p>
    <w:p>
      <w:pPr>
        <w:numPr>
          <w:ilvl w:val="0"/>
          <w:numId w:val="10"/>
        </w:numPr>
      </w:pPr>
      <w:r>
        <w:rPr>
          <w:rFonts w:ascii="Calibri" w:hAnsi="Calibri"/>
          <w:b w:val="0"/>
          <w:color w:val="17202A"/>
          <w:sz w:val="22"/>
        </w:rPr>
        <w:t>nginx + WordPress como origen del blog.</w:t>
      </w:r>
    </w:p>
    <w:p>
      <w:r>
        <w:rPr>
          <w:rFonts w:ascii="Calibri" w:hAnsi="Calibri"/>
          <w:b w:val="0"/>
          <w:color w:val="17202A"/>
          <w:sz w:val="22"/>
        </w:rPr>
        <w:t>Rutas conceptuales:</w:t>
      </w:r>
    </w:p>
    <w:p>
      <w:pPr>
        <w:numPr>
          <w:ilvl w:val="0"/>
          <w:numId w:val="10"/>
        </w:numPr>
      </w:pPr>
      <w:r>
        <w:rPr>
          <w:rFonts w:ascii="Calibri" w:hAnsi="Calibri"/>
          <w:b w:val="0"/>
          <w:color w:val="17202A"/>
          <w:sz w:val="22"/>
        </w:rPr>
        <w:t>Tienda → SAP storefront.</w:t>
      </w:r>
    </w:p>
    <w:p>
      <w:pPr>
        <w:numPr>
          <w:ilvl w:val="0"/>
          <w:numId w:val="10"/>
        </w:numPr>
      </w:pPr>
      <w:r>
        <w:rPr>
          <w:rFonts w:ascii="Calibri" w:hAnsi="Calibri"/>
          <w:b w:val="0"/>
          <w:color w:val="17202A"/>
          <w:sz w:val="22"/>
        </w:rPr>
        <w:t>API → SAP API/OCC.</w:t>
      </w:r>
    </w:p>
    <w:p>
      <w:pPr>
        <w:numPr>
          <w:ilvl w:val="0"/>
          <w:numId w:val="10"/>
        </w:numPr>
      </w:pPr>
      <w:r>
        <w:rPr>
          <w:rFonts w:ascii="Courier New" w:hAnsi="Courier New"/>
          <w:color w:val="1F4D78"/>
          <w:sz w:val="21"/>
          <w:shd w:fill="EEF2F6"/>
        </w:rPr>
        <w:t>/pt/blog</w:t>
      </w:r>
      <w:r>
        <w:rPr>
          <w:rFonts w:ascii="Calibri" w:hAnsi="Calibri"/>
          <w:b w:val="0"/>
          <w:color w:val="17202A"/>
          <w:sz w:val="22"/>
        </w:rPr>
        <w:t xml:space="preserve"> → Application Gateway → WordPress.</w:t>
      </w:r>
    </w:p>
    <w:p>
      <w:pPr>
        <w:pStyle w:val="Heading1"/>
      </w:pPr>
      <w:r>
        <w:rPr>
          <w:rFonts w:ascii="Calibri" w:hAnsi="Calibri"/>
          <w:b/>
          <w:color w:val="2E74B5"/>
          <w:sz w:val="32"/>
        </w:rPr>
        <w:t>3. Arquitectura objetivo candidata</w:t>
      </w:r>
    </w:p>
    <w:p>
      <w:pPr>
        <w:spacing w:before="120" w:after="160"/>
        <w:jc w:val="center"/>
      </w:pPr>
      <w:r>
        <w:drawing>
          <wp:inline xmlns:a="http://schemas.openxmlformats.org/drawingml/2006/main" xmlns:pic="http://schemas.openxmlformats.org/drawingml/2006/picture">
            <wp:extent cx="5806440" cy="3483864"/>
            <wp:docPr id="2" name="Picture 2" descr="target architecture" title="target architecture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arget-architecture.png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806440" cy="3483864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10"/>
        </w:numPr>
      </w:pPr>
      <w:r>
        <w:rPr>
          <w:rFonts w:ascii="Calibri" w:hAnsi="Calibri"/>
          <w:b w:val="0"/>
          <w:color w:val="17202A"/>
          <w:sz w:val="22"/>
        </w:rPr>
        <w:t>Azure DNS continúa como autoritativo.</w:t>
      </w:r>
    </w:p>
    <w:p>
      <w:pPr>
        <w:numPr>
          <w:ilvl w:val="0"/>
          <w:numId w:val="10"/>
        </w:numPr>
      </w:pPr>
      <w:r>
        <w:rPr>
          <w:rFonts w:ascii="Calibri" w:hAnsi="Calibri"/>
          <w:b w:val="0"/>
          <w:color w:val="17202A"/>
          <w:sz w:val="22"/>
        </w:rPr>
        <w:t>Los hostnames web seleccionados apuntan a Cloudflare mediante CNAME parcial.</w:t>
      </w:r>
    </w:p>
    <w:p>
      <w:pPr>
        <w:numPr>
          <w:ilvl w:val="0"/>
          <w:numId w:val="10"/>
        </w:numPr>
      </w:pPr>
      <w:r>
        <w:rPr>
          <w:rFonts w:ascii="Calibri" w:hAnsi="Calibri"/>
          <w:b w:val="0"/>
          <w:color w:val="17202A"/>
          <w:sz w:val="22"/>
        </w:rPr>
        <w:t>Cloudflare aplica TLS, WAF, caché, redirects y rewrites.</w:t>
      </w:r>
    </w:p>
    <w:p>
      <w:pPr>
        <w:numPr>
          <w:ilvl w:val="0"/>
          <w:numId w:val="10"/>
        </w:numPr>
      </w:pPr>
      <w:r>
        <w:rPr>
          <w:rFonts w:ascii="Calibri" w:hAnsi="Calibri"/>
          <w:b w:val="0"/>
          <w:color w:val="17202A"/>
          <w:sz w:val="22"/>
        </w:rPr>
        <w:t>Cloudflare enruta tienda y API a los endpoints SAP correspondientes.</w:t>
      </w:r>
    </w:p>
    <w:p>
      <w:pPr>
        <w:numPr>
          <w:ilvl w:val="0"/>
          <w:numId w:val="10"/>
        </w:numPr>
      </w:pPr>
      <w:r>
        <w:rPr>
          <w:rFonts w:ascii="Calibri" w:hAnsi="Calibri"/>
          <w:b w:val="0"/>
          <w:color w:val="17202A"/>
          <w:sz w:val="22"/>
        </w:rPr>
        <w:t>Cloudflare enruta el blog a Application Gateway, que puede conservar su WAF y acceso a WordPress.</w:t>
      </w:r>
    </w:p>
    <w:p>
      <w:r>
        <w:rPr>
          <w:rFonts w:ascii="Calibri" w:hAnsi="Calibri"/>
          <w:b w:val="0"/>
          <w:color w:val="17202A"/>
          <w:sz w:val="22"/>
        </w:rPr>
        <w:t>La decisión de conservar Application Gateway para el blog reduce cambios simultáneos. Puede revisarse más adelante si aporta coste o complejidad sin valor suficiente.</w:t>
      </w:r>
    </w:p>
    <w:p>
      <w:pPr>
        <w:pStyle w:val="Heading1"/>
      </w:pPr>
      <w:r>
        <w:rPr>
          <w:rFonts w:ascii="Calibri" w:hAnsi="Calibri"/>
          <w:b/>
          <w:color w:val="2E74B5"/>
          <w:sz w:val="32"/>
        </w:rPr>
        <w:t>4. Equipo mínimo y responsabilidades</w:t>
      </w:r>
    </w:p>
    <w:tbl>
      <w:tblPr>
        <w:tblStyle w:val="TableGrid"/>
        <w:tblW w:type="dxa" w:w="9360"/>
        <w:jc w:val="left"/>
        <w:tblLayout w:type="fixed"/>
        <w:tblLook w:firstColumn="1" w:firstRow="1" w:lastColumn="0" w:lastRow="0" w:noHBand="0" w:noVBand="1" w:val="04A0"/>
        <w:tblInd w:w="120" w:type="dxa"/>
      </w:tblPr>
      <w:tblGrid>
        <w:gridCol w:w="2700"/>
        <w:gridCol w:w="6660"/>
      </w:tblGrid>
      <w:tr>
        <w:trPr>
          <w:tblHeader w:val="true"/>
        </w:trPr>
        <w:tc>
          <w:tcPr>
            <w:tcW w:type="dxa" w:w="2700"/>
            <w:tcMar>
              <w:top w:w="80" w:type="dxa"/>
              <w:start w:w="120" w:type="dxa"/>
              <w:bottom w:w="80" w:type="dxa"/>
              <w:end w:w="120" w:type="dxa"/>
            </w:tcMar>
            <w:vAlign w:val="center"/>
            <w:shd w:fill="E8EEF5"/>
          </w:tcPr>
          <w:p>
            <w:pPr>
              <w:spacing w:before="0" w:after="0" w:line="276" w:lineRule="auto"/>
            </w:pPr>
            <w:r>
              <w:rPr>
                <w:rFonts w:ascii="Calibri" w:hAnsi="Calibri"/>
                <w:b/>
                <w:color w:val="17202A"/>
                <w:sz w:val="19"/>
              </w:rPr>
              <w:t>Rol</w:t>
            </w:r>
          </w:p>
        </w:tc>
        <w:tc>
          <w:tcPr>
            <w:tcW w:type="dxa" w:w="6660"/>
            <w:tcMar>
              <w:top w:w="80" w:type="dxa"/>
              <w:start w:w="120" w:type="dxa"/>
              <w:bottom w:w="80" w:type="dxa"/>
              <w:end w:w="120" w:type="dxa"/>
            </w:tcMar>
            <w:vAlign w:val="center"/>
            <w:shd w:fill="E8EEF5"/>
          </w:tcPr>
          <w:p>
            <w:pPr>
              <w:spacing w:before="0" w:after="0" w:line="276" w:lineRule="auto"/>
            </w:pPr>
            <w:r>
              <w:rPr>
                <w:rFonts w:ascii="Calibri" w:hAnsi="Calibri"/>
                <w:b/>
                <w:color w:val="17202A"/>
                <w:sz w:val="19"/>
              </w:rPr>
              <w:t>Responsabilidad</w:t>
            </w:r>
          </w:p>
        </w:tc>
      </w:tr>
      <w:tr>
        <w:tc>
          <w:tcPr>
            <w:tcW w:type="dxa" w:w="2700"/>
            <w:tcMar>
              <w:top w:w="80" w:type="dxa"/>
              <w:start w:w="120" w:type="dxa"/>
              <w:bottom w:w="80" w:type="dxa"/>
              <w:end w:w="120" w:type="dxa"/>
            </w:tcMar>
            <w:vAlign w:val="center"/>
          </w:tcPr>
          <w:p>
            <w:pPr>
              <w:spacing w:before="0" w:after="0" w:line="276" w:lineRule="auto"/>
            </w:pPr>
            <w:r>
              <w:rPr>
                <w:rFonts w:ascii="Calibri" w:hAnsi="Calibri"/>
                <w:b w:val="0"/>
                <w:color w:val="17202A"/>
                <w:sz w:val="19"/>
              </w:rPr>
              <w:t>Responsable de cambio</w:t>
            </w:r>
          </w:p>
        </w:tc>
        <w:tc>
          <w:tcPr>
            <w:tcW w:type="dxa" w:w="6660"/>
            <w:tcMar>
              <w:top w:w="80" w:type="dxa"/>
              <w:start w:w="120" w:type="dxa"/>
              <w:bottom w:w="80" w:type="dxa"/>
              <w:end w:w="120" w:type="dxa"/>
            </w:tcMar>
            <w:vAlign w:val="center"/>
          </w:tcPr>
          <w:p>
            <w:pPr>
              <w:spacing w:before="0" w:after="0" w:line="276" w:lineRule="auto"/>
            </w:pPr>
            <w:r>
              <w:rPr>
                <w:rFonts w:ascii="Calibri" w:hAnsi="Calibri"/>
                <w:b w:val="0"/>
                <w:color w:val="17202A"/>
                <w:sz w:val="19"/>
              </w:rPr>
              <w:t>Go/no-go, ventana y rollback</w:t>
            </w:r>
          </w:p>
        </w:tc>
      </w:tr>
      <w:tr>
        <w:tc>
          <w:tcPr>
            <w:tcW w:type="dxa" w:w="2700"/>
            <w:tcMar>
              <w:top w:w="80" w:type="dxa"/>
              <w:start w:w="120" w:type="dxa"/>
              <w:bottom w:w="80" w:type="dxa"/>
              <w:end w:w="120" w:type="dxa"/>
            </w:tcMar>
            <w:vAlign w:val="center"/>
          </w:tcPr>
          <w:p>
            <w:pPr>
              <w:spacing w:before="0" w:after="0" w:line="276" w:lineRule="auto"/>
            </w:pPr>
            <w:r>
              <w:rPr>
                <w:rFonts w:ascii="Calibri" w:hAnsi="Calibri"/>
                <w:b w:val="0"/>
                <w:color w:val="17202A"/>
                <w:sz w:val="19"/>
              </w:rPr>
              <w:t>DNS/red</w:t>
            </w:r>
          </w:p>
        </w:tc>
        <w:tc>
          <w:tcPr>
            <w:tcW w:type="dxa" w:w="6660"/>
            <w:tcMar>
              <w:top w:w="80" w:type="dxa"/>
              <w:start w:w="120" w:type="dxa"/>
              <w:bottom w:w="80" w:type="dxa"/>
              <w:end w:w="120" w:type="dxa"/>
            </w:tcMar>
            <w:vAlign w:val="center"/>
          </w:tcPr>
          <w:p>
            <w:pPr>
              <w:spacing w:before="0" w:after="0" w:line="276" w:lineRule="auto"/>
            </w:pPr>
            <w:r>
              <w:rPr>
                <w:rFonts w:ascii="Calibri" w:hAnsi="Calibri"/>
                <w:b w:val="0"/>
                <w:color w:val="17202A"/>
                <w:sz w:val="19"/>
              </w:rPr>
              <w:t>Azure DNS, CNAME parcial, certificados y conectividad</w:t>
            </w:r>
          </w:p>
        </w:tc>
      </w:tr>
      <w:tr>
        <w:tc>
          <w:tcPr>
            <w:tcW w:type="dxa" w:w="2700"/>
            <w:tcMar>
              <w:top w:w="80" w:type="dxa"/>
              <w:start w:w="120" w:type="dxa"/>
              <w:bottom w:w="80" w:type="dxa"/>
              <w:end w:w="120" w:type="dxa"/>
            </w:tcMar>
            <w:vAlign w:val="center"/>
          </w:tcPr>
          <w:p>
            <w:pPr>
              <w:spacing w:before="0" w:after="0" w:line="276" w:lineRule="auto"/>
            </w:pPr>
            <w:r>
              <w:rPr>
                <w:rFonts w:ascii="Calibri" w:hAnsi="Calibri"/>
                <w:b w:val="0"/>
                <w:color w:val="17202A"/>
                <w:sz w:val="19"/>
              </w:rPr>
              <w:t>SAP Commerce</w:t>
            </w:r>
          </w:p>
        </w:tc>
        <w:tc>
          <w:tcPr>
            <w:tcW w:type="dxa" w:w="6660"/>
            <w:tcMar>
              <w:top w:w="80" w:type="dxa"/>
              <w:start w:w="120" w:type="dxa"/>
              <w:bottom w:w="80" w:type="dxa"/>
              <w:end w:w="120" w:type="dxa"/>
            </w:tcMar>
            <w:vAlign w:val="center"/>
          </w:tcPr>
          <w:p>
            <w:pPr>
              <w:spacing w:before="0" w:after="0" w:line="276" w:lineRule="auto"/>
            </w:pPr>
            <w:r>
              <w:rPr>
                <w:rFonts w:ascii="Calibri" w:hAnsi="Calibri"/>
                <w:b w:val="0"/>
                <w:color w:val="17202A"/>
                <w:sz w:val="19"/>
              </w:rPr>
              <w:t>Endpoints, Host/SNI, cookies, OCC, caché y journeys</w:t>
            </w:r>
          </w:p>
        </w:tc>
      </w:tr>
      <w:tr>
        <w:tc>
          <w:tcPr>
            <w:tcW w:type="dxa" w:w="2700"/>
            <w:tcMar>
              <w:top w:w="80" w:type="dxa"/>
              <w:start w:w="120" w:type="dxa"/>
              <w:bottom w:w="80" w:type="dxa"/>
              <w:end w:w="120" w:type="dxa"/>
            </w:tcMar>
            <w:vAlign w:val="center"/>
          </w:tcPr>
          <w:p>
            <w:pPr>
              <w:spacing w:before="0" w:after="0" w:line="276" w:lineRule="auto"/>
            </w:pPr>
            <w:r>
              <w:rPr>
                <w:rFonts w:ascii="Calibri" w:hAnsi="Calibri"/>
                <w:b w:val="0"/>
                <w:color w:val="17202A"/>
                <w:sz w:val="19"/>
              </w:rPr>
              <w:t>Seguridad</w:t>
            </w:r>
          </w:p>
        </w:tc>
        <w:tc>
          <w:tcPr>
            <w:tcW w:type="dxa" w:w="6660"/>
            <w:tcMar>
              <w:top w:w="80" w:type="dxa"/>
              <w:start w:w="120" w:type="dxa"/>
              <w:bottom w:w="80" w:type="dxa"/>
              <w:end w:w="120" w:type="dxa"/>
            </w:tcMar>
            <w:vAlign w:val="center"/>
          </w:tcPr>
          <w:p>
            <w:pPr>
              <w:spacing w:before="0" w:after="0" w:line="276" w:lineRule="auto"/>
            </w:pPr>
            <w:r>
              <w:rPr>
                <w:rFonts w:ascii="Calibri" w:hAnsi="Calibri"/>
                <w:b w:val="0"/>
                <w:color w:val="17202A"/>
                <w:sz w:val="19"/>
              </w:rPr>
              <w:t>WAF, bots, rate limiting, IP Filter Sets y excepciones</w:t>
            </w:r>
          </w:p>
        </w:tc>
      </w:tr>
      <w:tr>
        <w:tc>
          <w:tcPr>
            <w:tcW w:type="dxa" w:w="2700"/>
            <w:tcMar>
              <w:top w:w="80" w:type="dxa"/>
              <w:start w:w="120" w:type="dxa"/>
              <w:bottom w:w="80" w:type="dxa"/>
              <w:end w:w="120" w:type="dxa"/>
            </w:tcMar>
            <w:vAlign w:val="center"/>
          </w:tcPr>
          <w:p>
            <w:pPr>
              <w:spacing w:before="0" w:after="0" w:line="276" w:lineRule="auto"/>
            </w:pPr>
            <w:r>
              <w:rPr>
                <w:rFonts w:ascii="Calibri" w:hAnsi="Calibri"/>
                <w:b w:val="0"/>
                <w:color w:val="17202A"/>
                <w:sz w:val="19"/>
              </w:rPr>
              <w:t>Plataforma anterior/blog</w:t>
            </w:r>
          </w:p>
        </w:tc>
        <w:tc>
          <w:tcPr>
            <w:tcW w:type="dxa" w:w="6660"/>
            <w:tcMar>
              <w:top w:w="80" w:type="dxa"/>
              <w:start w:w="120" w:type="dxa"/>
              <w:bottom w:w="80" w:type="dxa"/>
              <w:end w:w="120" w:type="dxa"/>
            </w:tcMar>
            <w:vAlign w:val="center"/>
          </w:tcPr>
          <w:p>
            <w:pPr>
              <w:spacing w:before="0" w:after="0" w:line="276" w:lineRule="auto"/>
            </w:pPr>
            <w:r>
              <w:rPr>
                <w:rFonts w:ascii="Calibri" w:hAnsi="Calibri"/>
                <w:b w:val="0"/>
                <w:color w:val="17202A"/>
                <w:sz w:val="19"/>
              </w:rPr>
              <w:t>Application Gateway, nginx y WordPress</w:t>
            </w:r>
          </w:p>
        </w:tc>
      </w:tr>
      <w:tr>
        <w:tc>
          <w:tcPr>
            <w:tcW w:type="dxa" w:w="2700"/>
            <w:tcMar>
              <w:top w:w="80" w:type="dxa"/>
              <w:start w:w="120" w:type="dxa"/>
              <w:bottom w:w="80" w:type="dxa"/>
              <w:end w:w="120" w:type="dxa"/>
            </w:tcMar>
            <w:vAlign w:val="center"/>
          </w:tcPr>
          <w:p>
            <w:pPr>
              <w:spacing w:before="0" w:after="0" w:line="276" w:lineRule="auto"/>
            </w:pPr>
            <w:r>
              <w:rPr>
                <w:rFonts w:ascii="Calibri" w:hAnsi="Calibri"/>
                <w:b w:val="0"/>
                <w:color w:val="17202A"/>
                <w:sz w:val="19"/>
              </w:rPr>
              <w:t>QA ecommerce</w:t>
            </w:r>
          </w:p>
        </w:tc>
        <w:tc>
          <w:tcPr>
            <w:tcW w:type="dxa" w:w="6660"/>
            <w:tcMar>
              <w:top w:w="80" w:type="dxa"/>
              <w:start w:w="120" w:type="dxa"/>
              <w:bottom w:w="80" w:type="dxa"/>
              <w:end w:w="120" w:type="dxa"/>
            </w:tcMar>
            <w:vAlign w:val="center"/>
          </w:tcPr>
          <w:p>
            <w:pPr>
              <w:spacing w:before="0" w:after="0" w:line="276" w:lineRule="auto"/>
            </w:pPr>
            <w:r>
              <w:rPr>
                <w:rFonts w:ascii="Calibri" w:hAnsi="Calibri"/>
                <w:b w:val="0"/>
                <w:color w:val="17202A"/>
                <w:sz w:val="19"/>
              </w:rPr>
              <w:t>Cuenta, carrito, checkout, pago, promociones y stock</w:t>
            </w:r>
          </w:p>
        </w:tc>
      </w:tr>
      <w:tr>
        <w:tc>
          <w:tcPr>
            <w:tcW w:type="dxa" w:w="2700"/>
            <w:tcMar>
              <w:top w:w="80" w:type="dxa"/>
              <w:start w:w="120" w:type="dxa"/>
              <w:bottom w:w="80" w:type="dxa"/>
              <w:end w:w="120" w:type="dxa"/>
            </w:tcMar>
            <w:vAlign w:val="center"/>
          </w:tcPr>
          <w:p>
            <w:pPr>
              <w:spacing w:before="0" w:after="0" w:line="276" w:lineRule="auto"/>
            </w:pPr>
            <w:r>
              <w:rPr>
                <w:rFonts w:ascii="Calibri" w:hAnsi="Calibri"/>
                <w:b w:val="0"/>
                <w:color w:val="17202A"/>
                <w:sz w:val="19"/>
              </w:rPr>
              <w:t>SEO</w:t>
            </w:r>
          </w:p>
        </w:tc>
        <w:tc>
          <w:tcPr>
            <w:tcW w:type="dxa" w:w="6660"/>
            <w:tcMar>
              <w:top w:w="80" w:type="dxa"/>
              <w:start w:w="120" w:type="dxa"/>
              <w:bottom w:w="80" w:type="dxa"/>
              <w:end w:w="120" w:type="dxa"/>
            </w:tcMar>
            <w:vAlign w:val="center"/>
          </w:tcPr>
          <w:p>
            <w:pPr>
              <w:spacing w:before="0" w:after="0" w:line="276" w:lineRule="auto"/>
            </w:pPr>
            <w:r>
              <w:rPr>
                <w:rFonts w:ascii="Calibri" w:hAnsi="Calibri"/>
                <w:b w:val="0"/>
                <w:color w:val="17202A"/>
                <w:sz w:val="19"/>
              </w:rPr>
              <w:t>Redirects, canonicals, robots, sitemap y crawlers</w:t>
            </w:r>
          </w:p>
        </w:tc>
      </w:tr>
      <w:tr>
        <w:tc>
          <w:tcPr>
            <w:tcW w:type="dxa" w:w="2700"/>
            <w:tcMar>
              <w:top w:w="80" w:type="dxa"/>
              <w:start w:w="120" w:type="dxa"/>
              <w:bottom w:w="80" w:type="dxa"/>
              <w:end w:w="120" w:type="dxa"/>
            </w:tcMar>
            <w:vAlign w:val="center"/>
          </w:tcPr>
          <w:p>
            <w:pPr>
              <w:spacing w:before="0" w:after="0" w:line="276" w:lineRule="auto"/>
            </w:pPr>
            <w:r>
              <w:rPr>
                <w:rFonts w:ascii="Calibri" w:hAnsi="Calibri"/>
                <w:b w:val="0"/>
                <w:color w:val="17202A"/>
                <w:sz w:val="19"/>
              </w:rPr>
              <w:t>Observabilidad</w:t>
            </w:r>
          </w:p>
        </w:tc>
        <w:tc>
          <w:tcPr>
            <w:tcW w:type="dxa" w:w="6660"/>
            <w:tcMar>
              <w:top w:w="80" w:type="dxa"/>
              <w:start w:w="120" w:type="dxa"/>
              <w:bottom w:w="80" w:type="dxa"/>
              <w:end w:w="120" w:type="dxa"/>
            </w:tcMar>
            <w:vAlign w:val="center"/>
          </w:tcPr>
          <w:p>
            <w:pPr>
              <w:spacing w:before="0" w:after="0" w:line="276" w:lineRule="auto"/>
            </w:pPr>
            <w:r>
              <w:rPr>
                <w:rFonts w:ascii="Calibri" w:hAnsi="Calibri"/>
                <w:b w:val="0"/>
                <w:color w:val="17202A"/>
                <w:sz w:val="19"/>
              </w:rPr>
              <w:t>Línea base, dashboards, alertas y análisis de errores</w:t>
            </w:r>
          </w:p>
        </w:tc>
      </w:tr>
    </w:tbl>
    <w:p>
      <w:pPr>
        <w:spacing w:before="0" w:after="40"/>
      </w:pPr>
    </w:p>
    <w:p>
      <w:pPr>
        <w:pStyle w:val="Heading1"/>
      </w:pPr>
      <w:r>
        <w:rPr>
          <w:rFonts w:ascii="Calibri" w:hAnsi="Calibri"/>
          <w:b/>
          <w:color w:val="2E74B5"/>
          <w:sz w:val="32"/>
        </w:rPr>
        <w:t>5. Inventario de Azure Front Door</w:t>
      </w:r>
    </w:p>
    <w:p>
      <w:r>
        <w:rPr>
          <w:rFonts w:ascii="Calibri" w:hAnsi="Calibri"/>
          <w:b w:val="0"/>
          <w:color w:val="17202A"/>
          <w:sz w:val="22"/>
        </w:rPr>
        <w:t>No configurar Cloudflare desde memoria. Exportar o documentar todas las funciones actuales.</w:t>
      </w:r>
    </w:p>
    <w:p>
      <w:pPr>
        <w:pStyle w:val="Heading2"/>
      </w:pPr>
      <w:r>
        <w:rPr>
          <w:rFonts w:ascii="Calibri" w:hAnsi="Calibri"/>
          <w:b/>
          <w:color w:val="2E74B5"/>
          <w:sz w:val="26"/>
        </w:rPr>
        <w:t>5.1. Dominios y certificados</w:t>
      </w:r>
    </w:p>
    <w:p>
      <w:r>
        <w:rPr>
          <w:rFonts w:ascii="Calibri" w:hAnsi="Calibri"/>
          <w:b w:val="0"/>
          <w:color w:val="17202A"/>
          <w:sz w:val="22"/>
        </w:rPr>
        <w:t>Por cada dominio:</w:t>
      </w:r>
    </w:p>
    <w:p>
      <w:pPr>
        <w:numPr>
          <w:ilvl w:val="0"/>
          <w:numId w:val="10"/>
        </w:numPr>
      </w:pPr>
      <w:r>
        <w:rPr>
          <w:rFonts w:ascii="Calibri" w:hAnsi="Calibri"/>
          <w:b w:val="0"/>
          <w:color w:val="17202A"/>
          <w:sz w:val="22"/>
        </w:rPr>
        <w:t>Nombre público y mercado.</w:t>
      </w:r>
    </w:p>
    <w:p>
      <w:pPr>
        <w:numPr>
          <w:ilvl w:val="0"/>
          <w:numId w:val="10"/>
        </w:numPr>
      </w:pPr>
      <w:r>
        <w:rPr>
          <w:rFonts w:ascii="Calibri" w:hAnsi="Calibri"/>
          <w:b w:val="0"/>
          <w:color w:val="17202A"/>
          <w:sz w:val="22"/>
        </w:rPr>
        <w:t>Apex o subdominio.</w:t>
      </w:r>
    </w:p>
    <w:p>
      <w:pPr>
        <w:numPr>
          <w:ilvl w:val="0"/>
          <w:numId w:val="10"/>
        </w:numPr>
      </w:pPr>
      <w:r>
        <w:rPr>
          <w:rFonts w:ascii="Calibri" w:hAnsi="Calibri"/>
          <w:b w:val="0"/>
          <w:color w:val="17202A"/>
          <w:sz w:val="22"/>
        </w:rPr>
        <w:t>CNAME/alias actual.</w:t>
      </w:r>
    </w:p>
    <w:p>
      <w:pPr>
        <w:numPr>
          <w:ilvl w:val="0"/>
          <w:numId w:val="10"/>
        </w:numPr>
      </w:pPr>
      <w:r>
        <w:rPr>
          <w:rFonts w:ascii="Calibri" w:hAnsi="Calibri"/>
          <w:b w:val="0"/>
          <w:color w:val="17202A"/>
          <w:sz w:val="22"/>
        </w:rPr>
        <w:t>Certificado y modo de gestión.</w:t>
      </w:r>
    </w:p>
    <w:p>
      <w:pPr>
        <w:numPr>
          <w:ilvl w:val="0"/>
          <w:numId w:val="10"/>
        </w:numPr>
      </w:pPr>
      <w:r>
        <w:rPr>
          <w:rFonts w:ascii="Calibri" w:hAnsi="Calibri"/>
          <w:b w:val="0"/>
          <w:color w:val="17202A"/>
          <w:sz w:val="22"/>
        </w:rPr>
        <w:t>Redirección HTTP→HTTPS.</w:t>
      </w:r>
    </w:p>
    <w:p>
      <w:pPr>
        <w:numPr>
          <w:ilvl w:val="0"/>
          <w:numId w:val="10"/>
        </w:numPr>
      </w:pPr>
      <w:r>
        <w:rPr>
          <w:rFonts w:ascii="Calibri" w:hAnsi="Calibri"/>
          <w:b w:val="0"/>
          <w:color w:val="17202A"/>
          <w:sz w:val="22"/>
        </w:rPr>
        <w:t>Registro CAA relevante.</w:t>
      </w:r>
    </w:p>
    <w:p>
      <w:pPr>
        <w:numPr>
          <w:ilvl w:val="0"/>
          <w:numId w:val="10"/>
        </w:numPr>
      </w:pPr>
      <w:r>
        <w:rPr>
          <w:rFonts w:ascii="Calibri" w:hAnsi="Calibri"/>
          <w:b w:val="0"/>
          <w:color w:val="17202A"/>
          <w:sz w:val="22"/>
        </w:rPr>
        <w:t>Responsable.</w:t>
      </w:r>
    </w:p>
    <w:p>
      <w:pPr>
        <w:pStyle w:val="Heading2"/>
      </w:pPr>
      <w:r>
        <w:rPr>
          <w:rFonts w:ascii="Calibri" w:hAnsi="Calibri"/>
          <w:b/>
          <w:color w:val="2E74B5"/>
          <w:sz w:val="26"/>
        </w:rPr>
        <w:t>5.2. Matriz de rutas</w:t>
      </w:r>
    </w:p>
    <w:tbl>
      <w:tblPr>
        <w:tblStyle w:val="TableGrid"/>
        <w:tblW w:type="dxa" w:w="9360"/>
        <w:jc w:val="left"/>
        <w:tblLayout w:type="fixed"/>
        <w:tblLook w:firstColumn="1" w:firstRow="1" w:lastColumn="0" w:lastRow="0" w:noHBand="0" w:noVBand="1" w:val="04A0"/>
        <w:tblInd w:w="120" w:type="dxa"/>
      </w:tblPr>
      <w:tblGrid>
        <w:gridCol w:w="1337"/>
        <w:gridCol w:w="1337"/>
        <w:gridCol w:w="1337"/>
        <w:gridCol w:w="1337"/>
        <w:gridCol w:w="1337"/>
        <w:gridCol w:w="1337"/>
        <w:gridCol w:w="1338"/>
      </w:tblGrid>
      <w:tr>
        <w:trPr>
          <w:tblHeader w:val="true"/>
        </w:trPr>
        <w:tc>
          <w:tcPr>
            <w:tcW w:type="dxa" w:w="1337"/>
            <w:tcMar>
              <w:top w:w="80" w:type="dxa"/>
              <w:start w:w="120" w:type="dxa"/>
              <w:bottom w:w="80" w:type="dxa"/>
              <w:end w:w="120" w:type="dxa"/>
            </w:tcMar>
            <w:vAlign w:val="center"/>
            <w:shd w:fill="E8EEF5"/>
          </w:tcPr>
          <w:p>
            <w:pPr>
              <w:spacing w:before="0" w:after="0" w:line="276" w:lineRule="auto"/>
            </w:pPr>
            <w:r>
              <w:rPr>
                <w:rFonts w:ascii="Calibri" w:hAnsi="Calibri"/>
                <w:b/>
                <w:color w:val="17202A"/>
                <w:sz w:val="18"/>
              </w:rPr>
              <w:t>Prioridad</w:t>
            </w:r>
          </w:p>
        </w:tc>
        <w:tc>
          <w:tcPr>
            <w:tcW w:type="dxa" w:w="1337"/>
            <w:tcMar>
              <w:top w:w="80" w:type="dxa"/>
              <w:start w:w="120" w:type="dxa"/>
              <w:bottom w:w="80" w:type="dxa"/>
              <w:end w:w="120" w:type="dxa"/>
            </w:tcMar>
            <w:vAlign w:val="center"/>
            <w:shd w:fill="E8EEF5"/>
          </w:tcPr>
          <w:p>
            <w:pPr>
              <w:spacing w:before="0" w:after="0" w:line="276" w:lineRule="auto"/>
            </w:pPr>
            <w:r>
              <w:rPr>
                <w:rFonts w:ascii="Calibri" w:hAnsi="Calibri"/>
                <w:b/>
                <w:color w:val="17202A"/>
                <w:sz w:val="18"/>
              </w:rPr>
              <w:t>Hostname</w:t>
            </w:r>
          </w:p>
        </w:tc>
        <w:tc>
          <w:tcPr>
            <w:tcW w:type="dxa" w:w="1337"/>
            <w:tcMar>
              <w:top w:w="80" w:type="dxa"/>
              <w:start w:w="120" w:type="dxa"/>
              <w:bottom w:w="80" w:type="dxa"/>
              <w:end w:w="120" w:type="dxa"/>
            </w:tcMar>
            <w:vAlign w:val="center"/>
            <w:shd w:fill="E8EEF5"/>
          </w:tcPr>
          <w:p>
            <w:pPr>
              <w:spacing w:before="0" w:after="0" w:line="276" w:lineRule="auto"/>
            </w:pPr>
            <w:r>
              <w:rPr>
                <w:rFonts w:ascii="Calibri" w:hAnsi="Calibri"/>
                <w:b/>
                <w:color w:val="17202A"/>
                <w:sz w:val="18"/>
              </w:rPr>
              <w:t>Patrón de ruta</w:t>
            </w:r>
          </w:p>
        </w:tc>
        <w:tc>
          <w:tcPr>
            <w:tcW w:type="dxa" w:w="1337"/>
            <w:tcMar>
              <w:top w:w="80" w:type="dxa"/>
              <w:start w:w="120" w:type="dxa"/>
              <w:bottom w:w="80" w:type="dxa"/>
              <w:end w:w="120" w:type="dxa"/>
            </w:tcMar>
            <w:vAlign w:val="center"/>
            <w:shd w:fill="E8EEF5"/>
          </w:tcPr>
          <w:p>
            <w:pPr>
              <w:spacing w:before="0" w:after="0" w:line="276" w:lineRule="auto"/>
            </w:pPr>
            <w:r>
              <w:rPr>
                <w:rFonts w:ascii="Calibri" w:hAnsi="Calibri"/>
                <w:b/>
                <w:color w:val="17202A"/>
                <w:sz w:val="18"/>
              </w:rPr>
              <w:t>Acción</w:t>
            </w:r>
          </w:p>
        </w:tc>
        <w:tc>
          <w:tcPr>
            <w:tcW w:type="dxa" w:w="1337"/>
            <w:tcMar>
              <w:top w:w="80" w:type="dxa"/>
              <w:start w:w="120" w:type="dxa"/>
              <w:bottom w:w="80" w:type="dxa"/>
              <w:end w:w="120" w:type="dxa"/>
            </w:tcMar>
            <w:vAlign w:val="center"/>
            <w:shd w:fill="E8EEF5"/>
          </w:tcPr>
          <w:p>
            <w:pPr>
              <w:spacing w:before="0" w:after="0" w:line="276" w:lineRule="auto"/>
            </w:pPr>
            <w:r>
              <w:rPr>
                <w:rFonts w:ascii="Calibri" w:hAnsi="Calibri"/>
                <w:b/>
                <w:color w:val="17202A"/>
                <w:sz w:val="18"/>
              </w:rPr>
              <w:t>Origen</w:t>
            </w:r>
          </w:p>
        </w:tc>
        <w:tc>
          <w:tcPr>
            <w:tcW w:type="dxa" w:w="1337"/>
            <w:tcMar>
              <w:top w:w="80" w:type="dxa"/>
              <w:start w:w="120" w:type="dxa"/>
              <w:bottom w:w="80" w:type="dxa"/>
              <w:end w:w="120" w:type="dxa"/>
            </w:tcMar>
            <w:vAlign w:val="center"/>
            <w:shd w:fill="E8EEF5"/>
          </w:tcPr>
          <w:p>
            <w:pPr>
              <w:spacing w:before="0" w:after="0" w:line="276" w:lineRule="auto"/>
            </w:pPr>
            <w:r>
              <w:rPr>
                <w:rFonts w:ascii="Calibri" w:hAnsi="Calibri"/>
                <w:b/>
                <w:color w:val="17202A"/>
                <w:sz w:val="18"/>
              </w:rPr>
              <w:t>Caché</w:t>
            </w:r>
          </w:p>
        </w:tc>
        <w:tc>
          <w:tcPr>
            <w:tcW w:type="dxa" w:w="1338"/>
            <w:tcMar>
              <w:top w:w="80" w:type="dxa"/>
              <w:start w:w="120" w:type="dxa"/>
              <w:bottom w:w="80" w:type="dxa"/>
              <w:end w:w="120" w:type="dxa"/>
            </w:tcMar>
            <w:vAlign w:val="center"/>
            <w:shd w:fill="E8EEF5"/>
          </w:tcPr>
          <w:p>
            <w:pPr>
              <w:spacing w:before="0" w:after="0" w:line="276" w:lineRule="auto"/>
            </w:pPr>
            <w:r>
              <w:rPr>
                <w:rFonts w:ascii="Calibri" w:hAnsi="Calibri"/>
                <w:b/>
                <w:color w:val="17202A"/>
                <w:sz w:val="18"/>
              </w:rPr>
              <w:t>Seguridad</w:t>
            </w:r>
          </w:p>
        </w:tc>
      </w:tr>
      <w:tr>
        <w:tc>
          <w:tcPr>
            <w:tcW w:type="dxa" w:w="1337"/>
            <w:tcMar>
              <w:top w:w="80" w:type="dxa"/>
              <w:start w:w="120" w:type="dxa"/>
              <w:bottom w:w="80" w:type="dxa"/>
              <w:end w:w="120" w:type="dxa"/>
            </w:tcMar>
            <w:vAlign w:val="center"/>
          </w:tcPr>
          <w:p>
            <w:pPr>
              <w:spacing w:before="0" w:after="0" w:line="276" w:lineRule="auto"/>
            </w:pPr>
            <w:r>
              <w:rPr>
                <w:rFonts w:ascii="Calibri" w:hAnsi="Calibri"/>
                <w:b w:val="0"/>
                <w:color w:val="17202A"/>
                <w:sz w:val="18"/>
              </w:rPr>
              <w:t>Ejemplo</w:t>
            </w:r>
          </w:p>
        </w:tc>
        <w:tc>
          <w:tcPr>
            <w:tcW w:type="dxa" w:w="1337"/>
            <w:tcMar>
              <w:top w:w="80" w:type="dxa"/>
              <w:start w:w="120" w:type="dxa"/>
              <w:bottom w:w="80" w:type="dxa"/>
              <w:end w:w="120" w:type="dxa"/>
            </w:tcMar>
            <w:vAlign w:val="center"/>
          </w:tcPr>
          <w:p>
            <w:pPr>
              <w:spacing w:before="0" w:after="0" w:line="276" w:lineRule="auto"/>
            </w:pPr>
            <w:r>
              <w:rPr>
                <w:rFonts w:ascii="Courier New" w:hAnsi="Courier New"/>
                <w:color w:val="1F4D78"/>
                <w:sz w:val="18"/>
                <w:shd w:fill="EEF2F6"/>
              </w:rPr>
              <w:t>www.ejemplo.pt</w:t>
            </w:r>
          </w:p>
        </w:tc>
        <w:tc>
          <w:tcPr>
            <w:tcW w:type="dxa" w:w="1337"/>
            <w:tcMar>
              <w:top w:w="80" w:type="dxa"/>
              <w:start w:w="120" w:type="dxa"/>
              <w:bottom w:w="80" w:type="dxa"/>
              <w:end w:w="120" w:type="dxa"/>
            </w:tcMar>
            <w:vAlign w:val="center"/>
          </w:tcPr>
          <w:p>
            <w:pPr>
              <w:spacing w:before="0" w:after="0" w:line="276" w:lineRule="auto"/>
            </w:pPr>
            <w:r>
              <w:rPr>
                <w:rFonts w:ascii="Courier New" w:hAnsi="Courier New"/>
                <w:color w:val="1F4D78"/>
                <w:sz w:val="18"/>
                <w:shd w:fill="EEF2F6"/>
              </w:rPr>
              <w:t>/pt/blog/*</w:t>
            </w:r>
          </w:p>
        </w:tc>
        <w:tc>
          <w:tcPr>
            <w:tcW w:type="dxa" w:w="1337"/>
            <w:tcMar>
              <w:top w:w="80" w:type="dxa"/>
              <w:start w:w="120" w:type="dxa"/>
              <w:bottom w:w="80" w:type="dxa"/>
              <w:end w:w="120" w:type="dxa"/>
            </w:tcMar>
            <w:vAlign w:val="center"/>
          </w:tcPr>
          <w:p>
            <w:pPr>
              <w:spacing w:before="0" w:after="0" w:line="276" w:lineRule="auto"/>
            </w:pPr>
            <w:r>
              <w:rPr>
                <w:rFonts w:ascii="Calibri" w:hAnsi="Calibri"/>
                <w:b w:val="0"/>
                <w:color w:val="17202A"/>
                <w:sz w:val="18"/>
              </w:rPr>
              <w:t>Route</w:t>
            </w:r>
          </w:p>
        </w:tc>
        <w:tc>
          <w:tcPr>
            <w:tcW w:type="dxa" w:w="1337"/>
            <w:tcMar>
              <w:top w:w="80" w:type="dxa"/>
              <w:start w:w="120" w:type="dxa"/>
              <w:bottom w:w="80" w:type="dxa"/>
              <w:end w:w="120" w:type="dxa"/>
            </w:tcMar>
            <w:vAlign w:val="center"/>
          </w:tcPr>
          <w:p>
            <w:pPr>
              <w:spacing w:before="0" w:after="0" w:line="276" w:lineRule="auto"/>
            </w:pPr>
            <w:r>
              <w:rPr>
                <w:rFonts w:ascii="Calibri" w:hAnsi="Calibri"/>
                <w:b w:val="0"/>
                <w:color w:val="17202A"/>
                <w:sz w:val="18"/>
              </w:rPr>
              <w:t>Application Gateway</w:t>
            </w:r>
          </w:p>
        </w:tc>
        <w:tc>
          <w:tcPr>
            <w:tcW w:type="dxa" w:w="1337"/>
            <w:tcMar>
              <w:top w:w="80" w:type="dxa"/>
              <w:start w:w="120" w:type="dxa"/>
              <w:bottom w:w="80" w:type="dxa"/>
              <w:end w:w="120" w:type="dxa"/>
            </w:tcMar>
            <w:vAlign w:val="center"/>
          </w:tcPr>
          <w:p>
            <w:pPr>
              <w:spacing w:before="0" w:after="0" w:line="276" w:lineRule="auto"/>
            </w:pPr>
            <w:r>
              <w:rPr>
                <w:rFonts w:ascii="Calibri" w:hAnsi="Calibri"/>
                <w:b w:val="0"/>
                <w:color w:val="17202A"/>
                <w:sz w:val="18"/>
              </w:rPr>
              <w:t>Política específica</w:t>
            </w:r>
          </w:p>
        </w:tc>
        <w:tc>
          <w:tcPr>
            <w:tcW w:type="dxa" w:w="1338"/>
            <w:tcMar>
              <w:top w:w="80" w:type="dxa"/>
              <w:start w:w="120" w:type="dxa"/>
              <w:bottom w:w="80" w:type="dxa"/>
              <w:end w:w="120" w:type="dxa"/>
            </w:tcMar>
            <w:vAlign w:val="center"/>
          </w:tcPr>
          <w:p>
            <w:pPr>
              <w:spacing w:before="0" w:after="0" w:line="276" w:lineRule="auto"/>
            </w:pPr>
            <w:r>
              <w:rPr>
                <w:rFonts w:ascii="Calibri" w:hAnsi="Calibri"/>
                <w:b w:val="0"/>
                <w:color w:val="17202A"/>
                <w:sz w:val="18"/>
              </w:rPr>
              <w:t>WAF AGW + edge</w:t>
            </w:r>
          </w:p>
        </w:tc>
      </w:tr>
      <w:tr>
        <w:tc>
          <w:tcPr>
            <w:tcW w:type="dxa" w:w="1337"/>
            <w:tcMar>
              <w:top w:w="80" w:type="dxa"/>
              <w:start w:w="120" w:type="dxa"/>
              <w:bottom w:w="80" w:type="dxa"/>
              <w:end w:w="120" w:type="dxa"/>
            </w:tcMar>
            <w:vAlign w:val="center"/>
          </w:tcPr>
          <w:p>
            <w:pPr>
              <w:spacing w:before="0" w:after="0" w:line="276" w:lineRule="auto"/>
            </w:pPr>
            <w:r>
              <w:rPr>
                <w:rFonts w:ascii="Calibri" w:hAnsi="Calibri"/>
                <w:b w:val="0"/>
                <w:color w:val="17202A"/>
                <w:sz w:val="18"/>
              </w:rPr>
              <w:t>Ejemplo</w:t>
            </w:r>
          </w:p>
        </w:tc>
        <w:tc>
          <w:tcPr>
            <w:tcW w:type="dxa" w:w="1337"/>
            <w:tcMar>
              <w:top w:w="80" w:type="dxa"/>
              <w:start w:w="120" w:type="dxa"/>
              <w:bottom w:w="80" w:type="dxa"/>
              <w:end w:w="120" w:type="dxa"/>
            </w:tcMar>
            <w:vAlign w:val="center"/>
          </w:tcPr>
          <w:p>
            <w:pPr>
              <w:spacing w:before="0" w:after="0" w:line="276" w:lineRule="auto"/>
            </w:pPr>
            <w:r>
              <w:rPr>
                <w:rFonts w:ascii="Courier New" w:hAnsi="Courier New"/>
                <w:color w:val="1F4D78"/>
                <w:sz w:val="18"/>
                <w:shd w:fill="EEF2F6"/>
              </w:rPr>
              <w:t>api.ejemplo.pt</w:t>
            </w:r>
          </w:p>
        </w:tc>
        <w:tc>
          <w:tcPr>
            <w:tcW w:type="dxa" w:w="1337"/>
            <w:tcMar>
              <w:top w:w="80" w:type="dxa"/>
              <w:start w:w="120" w:type="dxa"/>
              <w:bottom w:w="80" w:type="dxa"/>
              <w:end w:w="120" w:type="dxa"/>
            </w:tcMar>
            <w:vAlign w:val="center"/>
          </w:tcPr>
          <w:p>
            <w:pPr>
              <w:spacing w:before="0" w:after="0" w:line="276" w:lineRule="auto"/>
            </w:pPr>
            <w:r>
              <w:rPr>
                <w:rFonts w:ascii="Courier New" w:hAnsi="Courier New"/>
                <w:color w:val="1F4D78"/>
                <w:sz w:val="18"/>
                <w:shd w:fill="EEF2F6"/>
              </w:rPr>
              <w:t>/occ/*</w:t>
            </w:r>
          </w:p>
        </w:tc>
        <w:tc>
          <w:tcPr>
            <w:tcW w:type="dxa" w:w="1337"/>
            <w:tcMar>
              <w:top w:w="80" w:type="dxa"/>
              <w:start w:w="120" w:type="dxa"/>
              <w:bottom w:w="80" w:type="dxa"/>
              <w:end w:w="120" w:type="dxa"/>
            </w:tcMar>
            <w:vAlign w:val="center"/>
          </w:tcPr>
          <w:p>
            <w:pPr>
              <w:spacing w:before="0" w:after="0" w:line="276" w:lineRule="auto"/>
            </w:pPr>
            <w:r>
              <w:rPr>
                <w:rFonts w:ascii="Calibri" w:hAnsi="Calibri"/>
                <w:b w:val="0"/>
                <w:color w:val="17202A"/>
                <w:sz w:val="18"/>
              </w:rPr>
              <w:t>Route</w:t>
            </w:r>
          </w:p>
        </w:tc>
        <w:tc>
          <w:tcPr>
            <w:tcW w:type="dxa" w:w="1337"/>
            <w:tcMar>
              <w:top w:w="80" w:type="dxa"/>
              <w:start w:w="120" w:type="dxa"/>
              <w:bottom w:w="80" w:type="dxa"/>
              <w:end w:w="120" w:type="dxa"/>
            </w:tcMar>
            <w:vAlign w:val="center"/>
          </w:tcPr>
          <w:p>
            <w:pPr>
              <w:spacing w:before="0" w:after="0" w:line="276" w:lineRule="auto"/>
            </w:pPr>
            <w:r>
              <w:rPr>
                <w:rFonts w:ascii="Calibri" w:hAnsi="Calibri"/>
                <w:b w:val="0"/>
                <w:color w:val="17202A"/>
                <w:sz w:val="18"/>
              </w:rPr>
              <w:t>SAP API</w:t>
            </w:r>
          </w:p>
        </w:tc>
        <w:tc>
          <w:tcPr>
            <w:tcW w:type="dxa" w:w="1337"/>
            <w:tcMar>
              <w:top w:w="80" w:type="dxa"/>
              <w:start w:w="120" w:type="dxa"/>
              <w:bottom w:w="80" w:type="dxa"/>
              <w:end w:w="120" w:type="dxa"/>
            </w:tcMar>
            <w:vAlign w:val="center"/>
          </w:tcPr>
          <w:p>
            <w:pPr>
              <w:spacing w:before="0" w:after="0" w:line="276" w:lineRule="auto"/>
            </w:pPr>
            <w:r>
              <w:rPr>
                <w:rFonts w:ascii="Calibri" w:hAnsi="Calibri"/>
                <w:b w:val="0"/>
                <w:color w:val="17202A"/>
                <w:sz w:val="18"/>
              </w:rPr>
              <w:t>Bypass salvo endpoints aprobados</w:t>
            </w:r>
          </w:p>
        </w:tc>
        <w:tc>
          <w:tcPr>
            <w:tcW w:type="dxa" w:w="1338"/>
            <w:tcMar>
              <w:top w:w="80" w:type="dxa"/>
              <w:start w:w="120" w:type="dxa"/>
              <w:bottom w:w="80" w:type="dxa"/>
              <w:end w:w="120" w:type="dxa"/>
            </w:tcMar>
            <w:vAlign w:val="center"/>
          </w:tcPr>
          <w:p>
            <w:pPr>
              <w:spacing w:before="0" w:after="0" w:line="276" w:lineRule="auto"/>
            </w:pPr>
            <w:r>
              <w:rPr>
                <w:rFonts w:ascii="Calibri" w:hAnsi="Calibri"/>
                <w:b w:val="0"/>
                <w:color w:val="17202A"/>
                <w:sz w:val="18"/>
              </w:rPr>
              <w:t>WAF/rate limit</w:t>
            </w:r>
          </w:p>
        </w:tc>
      </w:tr>
      <w:tr>
        <w:tc>
          <w:tcPr>
            <w:tcW w:type="dxa" w:w="1337"/>
            <w:tcMar>
              <w:top w:w="80" w:type="dxa"/>
              <w:start w:w="120" w:type="dxa"/>
              <w:bottom w:w="80" w:type="dxa"/>
              <w:end w:w="120" w:type="dxa"/>
            </w:tcMar>
            <w:vAlign w:val="center"/>
          </w:tcPr>
          <w:p>
            <w:pPr>
              <w:spacing w:before="0" w:after="0" w:line="276" w:lineRule="auto"/>
            </w:pPr>
            <w:r>
              <w:rPr>
                <w:rFonts w:ascii="Calibri" w:hAnsi="Calibri"/>
                <w:b w:val="0"/>
                <w:color w:val="17202A"/>
                <w:sz w:val="18"/>
              </w:rPr>
              <w:t>Ejemplo</w:t>
            </w:r>
          </w:p>
        </w:tc>
        <w:tc>
          <w:tcPr>
            <w:tcW w:type="dxa" w:w="1337"/>
            <w:tcMar>
              <w:top w:w="80" w:type="dxa"/>
              <w:start w:w="120" w:type="dxa"/>
              <w:bottom w:w="80" w:type="dxa"/>
              <w:end w:w="120" w:type="dxa"/>
            </w:tcMar>
            <w:vAlign w:val="center"/>
          </w:tcPr>
          <w:p>
            <w:pPr>
              <w:spacing w:before="0" w:after="0" w:line="276" w:lineRule="auto"/>
            </w:pPr>
            <w:r>
              <w:rPr>
                <w:rFonts w:ascii="Courier New" w:hAnsi="Courier New"/>
                <w:color w:val="1F4D78"/>
                <w:sz w:val="18"/>
                <w:shd w:fill="EEF2F6"/>
              </w:rPr>
              <w:t>www.ejemplo.pt</w:t>
            </w:r>
          </w:p>
        </w:tc>
        <w:tc>
          <w:tcPr>
            <w:tcW w:type="dxa" w:w="1337"/>
            <w:tcMar>
              <w:top w:w="80" w:type="dxa"/>
              <w:start w:w="120" w:type="dxa"/>
              <w:bottom w:w="80" w:type="dxa"/>
              <w:end w:w="120" w:type="dxa"/>
            </w:tcMar>
            <w:vAlign w:val="center"/>
          </w:tcPr>
          <w:p>
            <w:pPr>
              <w:spacing w:before="0" w:after="0" w:line="276" w:lineRule="auto"/>
            </w:pPr>
            <w:r>
              <w:rPr>
                <w:rFonts w:ascii="Courier New" w:hAnsi="Courier New"/>
                <w:color w:val="1F4D78"/>
                <w:sz w:val="18"/>
                <w:shd w:fill="EEF2F6"/>
              </w:rPr>
              <w:t>/pt/*</w:t>
            </w:r>
          </w:p>
        </w:tc>
        <w:tc>
          <w:tcPr>
            <w:tcW w:type="dxa" w:w="1337"/>
            <w:tcMar>
              <w:top w:w="80" w:type="dxa"/>
              <w:start w:w="120" w:type="dxa"/>
              <w:bottom w:w="80" w:type="dxa"/>
              <w:end w:w="120" w:type="dxa"/>
            </w:tcMar>
            <w:vAlign w:val="center"/>
          </w:tcPr>
          <w:p>
            <w:pPr>
              <w:spacing w:before="0" w:after="0" w:line="276" w:lineRule="auto"/>
            </w:pPr>
            <w:r>
              <w:rPr>
                <w:rFonts w:ascii="Calibri" w:hAnsi="Calibri"/>
                <w:b w:val="0"/>
                <w:color w:val="17202A"/>
                <w:sz w:val="18"/>
              </w:rPr>
              <w:t>Route</w:t>
            </w:r>
          </w:p>
        </w:tc>
        <w:tc>
          <w:tcPr>
            <w:tcW w:type="dxa" w:w="1337"/>
            <w:tcMar>
              <w:top w:w="80" w:type="dxa"/>
              <w:start w:w="120" w:type="dxa"/>
              <w:bottom w:w="80" w:type="dxa"/>
              <w:end w:w="120" w:type="dxa"/>
            </w:tcMar>
            <w:vAlign w:val="center"/>
          </w:tcPr>
          <w:p>
            <w:pPr>
              <w:spacing w:before="0" w:after="0" w:line="276" w:lineRule="auto"/>
            </w:pPr>
            <w:r>
              <w:rPr>
                <w:rFonts w:ascii="Calibri" w:hAnsi="Calibri"/>
                <w:b w:val="0"/>
                <w:color w:val="17202A"/>
                <w:sz w:val="18"/>
              </w:rPr>
              <w:t>SAP storefront</w:t>
            </w:r>
          </w:p>
        </w:tc>
        <w:tc>
          <w:tcPr>
            <w:tcW w:type="dxa" w:w="1337"/>
            <w:tcMar>
              <w:top w:w="80" w:type="dxa"/>
              <w:start w:w="120" w:type="dxa"/>
              <w:bottom w:w="80" w:type="dxa"/>
              <w:end w:w="120" w:type="dxa"/>
            </w:tcMar>
            <w:vAlign w:val="center"/>
          </w:tcPr>
          <w:p>
            <w:pPr>
              <w:spacing w:before="0" w:after="0" w:line="276" w:lineRule="auto"/>
            </w:pPr>
            <w:r>
              <w:rPr>
                <w:rFonts w:ascii="Calibri" w:hAnsi="Calibri"/>
                <w:b w:val="0"/>
                <w:color w:val="17202A"/>
                <w:sz w:val="18"/>
              </w:rPr>
              <w:t>Según tipo de página</w:t>
            </w:r>
          </w:p>
        </w:tc>
        <w:tc>
          <w:tcPr>
            <w:tcW w:type="dxa" w:w="1338"/>
            <w:tcMar>
              <w:top w:w="80" w:type="dxa"/>
              <w:start w:w="120" w:type="dxa"/>
              <w:bottom w:w="80" w:type="dxa"/>
              <w:end w:w="120" w:type="dxa"/>
            </w:tcMar>
            <w:vAlign w:val="center"/>
          </w:tcPr>
          <w:p>
            <w:pPr>
              <w:spacing w:before="0" w:after="0" w:line="276" w:lineRule="auto"/>
            </w:pPr>
            <w:r>
              <w:rPr>
                <w:rFonts w:ascii="Calibri" w:hAnsi="Calibri"/>
                <w:b w:val="0"/>
                <w:color w:val="17202A"/>
                <w:sz w:val="18"/>
              </w:rPr>
              <w:t>WAF</w:t>
            </w:r>
          </w:p>
        </w:tc>
      </w:tr>
    </w:tbl>
    <w:p>
      <w:pPr>
        <w:spacing w:before="0" w:after="40"/>
      </w:pPr>
    </w:p>
    <w:p>
      <w:r>
        <w:rPr>
          <w:rFonts w:ascii="Calibri" w:hAnsi="Calibri"/>
          <w:b w:val="0"/>
          <w:color w:val="17202A"/>
          <w:sz w:val="22"/>
        </w:rPr>
        <w:t>La tabla final debe incluir todas las coincidencias y su orden real.</w:t>
      </w:r>
    </w:p>
    <w:p>
      <w:pPr>
        <w:pStyle w:val="Heading2"/>
      </w:pPr>
      <w:r>
        <w:rPr>
          <w:rFonts w:ascii="Calibri" w:hAnsi="Calibri"/>
          <w:b/>
          <w:color w:val="2E74B5"/>
          <w:sz w:val="26"/>
        </w:rPr>
        <w:t>5.3. Orígenes</w:t>
      </w:r>
    </w:p>
    <w:p>
      <w:r>
        <w:rPr>
          <w:rFonts w:ascii="Calibri" w:hAnsi="Calibri"/>
          <w:b w:val="0"/>
          <w:color w:val="17202A"/>
          <w:sz w:val="22"/>
        </w:rPr>
        <w:t>Para cada origen:</w:t>
      </w:r>
    </w:p>
    <w:p>
      <w:pPr>
        <w:numPr>
          <w:ilvl w:val="0"/>
          <w:numId w:val="10"/>
        </w:numPr>
      </w:pPr>
      <w:r>
        <w:rPr>
          <w:rFonts w:ascii="Calibri" w:hAnsi="Calibri"/>
          <w:b w:val="0"/>
          <w:color w:val="17202A"/>
          <w:sz w:val="22"/>
        </w:rPr>
        <w:t>FQDN de conexión, guardado en documentación interna separada.</w:t>
      </w:r>
    </w:p>
    <w:p>
      <w:pPr>
        <w:numPr>
          <w:ilvl w:val="0"/>
          <w:numId w:val="10"/>
        </w:numPr>
      </w:pPr>
      <w:r>
        <w:rPr>
          <w:rFonts w:ascii="Calibri" w:hAnsi="Calibri"/>
          <w:b w:val="0"/>
          <w:color w:val="17202A"/>
          <w:sz w:val="22"/>
        </w:rPr>
        <w:t>Host header enviado por AFD.</w:t>
      </w:r>
    </w:p>
    <w:p>
      <w:pPr>
        <w:numPr>
          <w:ilvl w:val="0"/>
          <w:numId w:val="10"/>
        </w:numPr>
      </w:pPr>
      <w:r>
        <w:rPr>
          <w:rFonts w:ascii="Calibri" w:hAnsi="Calibri"/>
          <w:b w:val="0"/>
          <w:color w:val="17202A"/>
          <w:sz w:val="22"/>
        </w:rPr>
        <w:t>SNI usado en TLS.</w:t>
      </w:r>
    </w:p>
    <w:p>
      <w:pPr>
        <w:numPr>
          <w:ilvl w:val="0"/>
          <w:numId w:val="10"/>
        </w:numPr>
      </w:pPr>
      <w:r>
        <w:rPr>
          <w:rFonts w:ascii="Calibri" w:hAnsi="Calibri"/>
          <w:b w:val="0"/>
          <w:color w:val="17202A"/>
          <w:sz w:val="22"/>
        </w:rPr>
        <w:t>Certificado esperado.</w:t>
      </w:r>
    </w:p>
    <w:p>
      <w:pPr>
        <w:numPr>
          <w:ilvl w:val="0"/>
          <w:numId w:val="10"/>
        </w:numPr>
      </w:pPr>
      <w:r>
        <w:rPr>
          <w:rFonts w:ascii="Calibri" w:hAnsi="Calibri"/>
          <w:b w:val="0"/>
          <w:color w:val="17202A"/>
          <w:sz w:val="22"/>
        </w:rPr>
        <w:t>Puerto y protocolo.</w:t>
      </w:r>
    </w:p>
    <w:p>
      <w:pPr>
        <w:numPr>
          <w:ilvl w:val="0"/>
          <w:numId w:val="10"/>
        </w:numPr>
      </w:pPr>
      <w:r>
        <w:rPr>
          <w:rFonts w:ascii="Calibri" w:hAnsi="Calibri"/>
          <w:b w:val="0"/>
          <w:color w:val="17202A"/>
          <w:sz w:val="22"/>
        </w:rPr>
        <w:t>Path base.</w:t>
      </w:r>
    </w:p>
    <w:p>
      <w:pPr>
        <w:numPr>
          <w:ilvl w:val="0"/>
          <w:numId w:val="10"/>
        </w:numPr>
      </w:pPr>
      <w:r>
        <w:rPr>
          <w:rFonts w:ascii="Calibri" w:hAnsi="Calibri"/>
          <w:b w:val="0"/>
          <w:color w:val="17202A"/>
          <w:sz w:val="22"/>
        </w:rPr>
        <w:t>Health probe: método, ruta, Host, intervalo y códigos válidos.</w:t>
      </w:r>
    </w:p>
    <w:p>
      <w:pPr>
        <w:numPr>
          <w:ilvl w:val="0"/>
          <w:numId w:val="10"/>
        </w:numPr>
      </w:pPr>
      <w:r>
        <w:rPr>
          <w:rFonts w:ascii="Calibri" w:hAnsi="Calibri"/>
          <w:b w:val="0"/>
          <w:color w:val="17202A"/>
          <w:sz w:val="22"/>
        </w:rPr>
        <w:t>Peso/prioridad/afinidad.</w:t>
      </w:r>
    </w:p>
    <w:p>
      <w:pPr>
        <w:numPr>
          <w:ilvl w:val="0"/>
          <w:numId w:val="10"/>
        </w:numPr>
      </w:pPr>
      <w:r>
        <w:rPr>
          <w:rFonts w:ascii="Calibri" w:hAnsi="Calibri"/>
          <w:b w:val="0"/>
          <w:color w:val="17202A"/>
          <w:sz w:val="22"/>
        </w:rPr>
        <w:t>Restricciones de IP.</w:t>
      </w:r>
    </w:p>
    <w:p>
      <w:pPr>
        <w:pStyle w:val="Heading2"/>
      </w:pPr>
      <w:r>
        <w:rPr>
          <w:rFonts w:ascii="Calibri" w:hAnsi="Calibri"/>
          <w:b/>
          <w:color w:val="2E74B5"/>
          <w:sz w:val="26"/>
        </w:rPr>
        <w:t>5.4. Reglas</w:t>
      </w:r>
    </w:p>
    <w:p>
      <w:r>
        <w:rPr>
          <w:rFonts w:ascii="Calibri" w:hAnsi="Calibri"/>
          <w:b w:val="0"/>
          <w:color w:val="17202A"/>
          <w:sz w:val="22"/>
        </w:rPr>
        <w:t>Clasificar cada regla AFD:</w:t>
      </w:r>
    </w:p>
    <w:p>
      <w:pPr>
        <w:numPr>
          <w:ilvl w:val="0"/>
          <w:numId w:val="10"/>
        </w:numPr>
      </w:pPr>
      <w:r>
        <w:rPr>
          <w:rFonts w:ascii="Calibri" w:hAnsi="Calibri"/>
          <w:b w:val="0"/>
          <w:color w:val="17202A"/>
          <w:sz w:val="22"/>
        </w:rPr>
        <w:t>Redirect.</w:t>
      </w:r>
    </w:p>
    <w:p>
      <w:pPr>
        <w:numPr>
          <w:ilvl w:val="0"/>
          <w:numId w:val="10"/>
        </w:numPr>
      </w:pPr>
      <w:r>
        <w:rPr>
          <w:rFonts w:ascii="Calibri" w:hAnsi="Calibri"/>
          <w:b w:val="0"/>
          <w:color w:val="17202A"/>
          <w:sz w:val="22"/>
        </w:rPr>
        <w:t>Rewrite.</w:t>
      </w:r>
    </w:p>
    <w:p>
      <w:pPr>
        <w:numPr>
          <w:ilvl w:val="0"/>
          <w:numId w:val="10"/>
        </w:numPr>
      </w:pPr>
      <w:r>
        <w:rPr>
          <w:rFonts w:ascii="Calibri" w:hAnsi="Calibri"/>
          <w:b w:val="0"/>
          <w:color w:val="17202A"/>
          <w:sz w:val="22"/>
        </w:rPr>
        <w:t>Route/origin.</w:t>
      </w:r>
    </w:p>
    <w:p>
      <w:pPr>
        <w:numPr>
          <w:ilvl w:val="0"/>
          <w:numId w:val="10"/>
        </w:numPr>
      </w:pPr>
      <w:r>
        <w:rPr>
          <w:rFonts w:ascii="Calibri" w:hAnsi="Calibri"/>
          <w:b w:val="0"/>
          <w:color w:val="17202A"/>
          <w:sz w:val="22"/>
        </w:rPr>
        <w:t>Cache.</w:t>
      </w:r>
    </w:p>
    <w:p>
      <w:pPr>
        <w:numPr>
          <w:ilvl w:val="0"/>
          <w:numId w:val="10"/>
        </w:numPr>
      </w:pPr>
      <w:r>
        <w:rPr>
          <w:rFonts w:ascii="Calibri" w:hAnsi="Calibri"/>
          <w:b w:val="0"/>
          <w:color w:val="17202A"/>
          <w:sz w:val="22"/>
        </w:rPr>
        <w:t>Query string.</w:t>
      </w:r>
    </w:p>
    <w:p>
      <w:pPr>
        <w:numPr>
          <w:ilvl w:val="0"/>
          <w:numId w:val="10"/>
        </w:numPr>
      </w:pPr>
      <w:r>
        <w:rPr>
          <w:rFonts w:ascii="Calibri" w:hAnsi="Calibri"/>
          <w:b w:val="0"/>
          <w:color w:val="17202A"/>
          <w:sz w:val="22"/>
        </w:rPr>
        <w:t>Cabecera request/response.</w:t>
      </w:r>
    </w:p>
    <w:p>
      <w:pPr>
        <w:numPr>
          <w:ilvl w:val="0"/>
          <w:numId w:val="10"/>
        </w:numPr>
      </w:pPr>
      <w:r>
        <w:rPr>
          <w:rFonts w:ascii="Calibri" w:hAnsi="Calibri"/>
          <w:b w:val="0"/>
          <w:color w:val="17202A"/>
          <w:sz w:val="22"/>
        </w:rPr>
        <w:t>Seguridad.</w:t>
      </w:r>
    </w:p>
    <w:p>
      <w:r>
        <w:rPr>
          <w:rFonts w:ascii="Calibri" w:hAnsi="Calibri"/>
          <w:b w:val="0"/>
          <w:color w:val="17202A"/>
          <w:sz w:val="22"/>
        </w:rPr>
        <w:t>Añadir prueba positiva, prueba negativa y riesgo si falla.</w:t>
      </w:r>
    </w:p>
    <w:p>
      <w:pPr>
        <w:pStyle w:val="Heading1"/>
      </w:pPr>
      <w:r>
        <w:rPr>
          <w:rFonts w:ascii="Calibri" w:hAnsi="Calibri"/>
          <w:b/>
          <w:color w:val="2E74B5"/>
          <w:sz w:val="32"/>
        </w:rPr>
        <w:t>6. Gap assessment Business</w:t>
      </w:r>
    </w:p>
    <w:p>
      <w:pPr>
        <w:pStyle w:val="Heading2"/>
      </w:pPr>
      <w:r>
        <w:rPr>
          <w:rFonts w:ascii="Calibri" w:hAnsi="Calibri"/>
          <w:b/>
          <w:color w:val="2E74B5"/>
          <w:sz w:val="26"/>
        </w:rPr>
        <w:t>6.1. Host, SNI y destino</w:t>
      </w:r>
    </w:p>
    <w:p>
      <w:r>
        <w:rPr>
          <w:rFonts w:ascii="Calibri" w:hAnsi="Calibri"/>
          <w:b w:val="0"/>
          <w:color w:val="17202A"/>
          <w:sz w:val="22"/>
        </w:rPr>
        <w:t>Cloudflare Business no permite sobrescribir Host, SNI o destino DNS mediante Origin Rules como Enterprise. Verificar si:</w:t>
      </w:r>
    </w:p>
    <w:p>
      <w:pPr>
        <w:numPr>
          <w:ilvl w:val="0"/>
          <w:numId w:val="10"/>
        </w:numPr>
      </w:pPr>
      <w:r>
        <w:rPr>
          <w:rFonts w:ascii="Calibri" w:hAnsi="Calibri"/>
          <w:b w:val="0"/>
          <w:color w:val="17202A"/>
          <w:sz w:val="22"/>
        </w:rPr>
        <w:t>SAP acepta el hostname público como Host.</w:t>
      </w:r>
    </w:p>
    <w:p>
      <w:pPr>
        <w:numPr>
          <w:ilvl w:val="0"/>
          <w:numId w:val="10"/>
        </w:numPr>
      </w:pPr>
      <w:r>
        <w:rPr>
          <w:rFonts w:ascii="Calibri" w:hAnsi="Calibri"/>
          <w:b w:val="0"/>
          <w:color w:val="17202A"/>
          <w:sz w:val="22"/>
        </w:rPr>
        <w:t>El endpoint SAP tiene el dominio personalizado registrado.</w:t>
      </w:r>
    </w:p>
    <w:p>
      <w:pPr>
        <w:numPr>
          <w:ilvl w:val="0"/>
          <w:numId w:val="10"/>
        </w:numPr>
      </w:pPr>
      <w:r>
        <w:rPr>
          <w:rFonts w:ascii="Calibri" w:hAnsi="Calibri"/>
          <w:b w:val="0"/>
          <w:color w:val="17202A"/>
          <w:sz w:val="22"/>
        </w:rPr>
        <w:t>Application Gateway acepta el Host público de la ruta blog.</w:t>
      </w:r>
    </w:p>
    <w:p>
      <w:pPr>
        <w:numPr>
          <w:ilvl w:val="0"/>
          <w:numId w:val="10"/>
        </w:numPr>
      </w:pPr>
      <w:r>
        <w:rPr>
          <w:rFonts w:ascii="Calibri" w:hAnsi="Calibri"/>
          <w:b w:val="0"/>
          <w:color w:val="17202A"/>
          <w:sz w:val="22"/>
        </w:rPr>
        <w:t>El redirector heredado exige su propio Host.</w:t>
      </w:r>
    </w:p>
    <w:p>
      <w:r>
        <w:rPr>
          <w:rFonts w:ascii="Calibri" w:hAnsi="Calibri"/>
          <w:b w:val="0"/>
          <w:color w:val="17202A"/>
          <w:sz w:val="22"/>
        </w:rPr>
        <w:t>Posibles soluciones, que deben evaluarse y costearse:</w:t>
      </w:r>
    </w:p>
    <w:p>
      <w:pPr>
        <w:numPr>
          <w:ilvl w:val="0"/>
          <w:numId w:val="10"/>
        </w:numPr>
      </w:pPr>
      <w:r>
        <w:rPr>
          <w:rFonts w:ascii="Calibri" w:hAnsi="Calibri"/>
          <w:b w:val="0"/>
          <w:color w:val="17202A"/>
          <w:sz w:val="22"/>
        </w:rPr>
        <w:t>Ajustar dominio personalizado en el origen.</w:t>
      </w:r>
    </w:p>
    <w:p>
      <w:pPr>
        <w:numPr>
          <w:ilvl w:val="0"/>
          <w:numId w:val="10"/>
        </w:numPr>
      </w:pPr>
      <w:r>
        <w:rPr>
          <w:rFonts w:ascii="Calibri" w:hAnsi="Calibri"/>
          <w:b w:val="0"/>
          <w:color w:val="17202A"/>
          <w:sz w:val="22"/>
        </w:rPr>
        <w:t>Cloudflare Load Balancing con configuración de endpoint.</w:t>
      </w:r>
    </w:p>
    <w:p>
      <w:pPr>
        <w:numPr>
          <w:ilvl w:val="0"/>
          <w:numId w:val="10"/>
        </w:numPr>
      </w:pPr>
      <w:r>
        <w:rPr>
          <w:rFonts w:ascii="Calibri" w:hAnsi="Calibri"/>
          <w:b w:val="0"/>
          <w:color w:val="17202A"/>
          <w:sz w:val="22"/>
        </w:rPr>
        <w:t>Worker que reenvíe al destino adecuado.</w:t>
      </w:r>
    </w:p>
    <w:p>
      <w:pPr>
        <w:numPr>
          <w:ilvl w:val="0"/>
          <w:numId w:val="10"/>
        </w:numPr>
      </w:pPr>
      <w:r>
        <w:rPr>
          <w:rFonts w:ascii="Calibri" w:hAnsi="Calibri"/>
          <w:b w:val="0"/>
          <w:color w:val="17202A"/>
          <w:sz w:val="22"/>
        </w:rPr>
        <w:t>Mantener temporalmente AFD para una ruta.</w:t>
      </w:r>
    </w:p>
    <w:p>
      <w:pPr>
        <w:numPr>
          <w:ilvl w:val="0"/>
          <w:numId w:val="10"/>
        </w:numPr>
      </w:pPr>
      <w:r>
        <w:rPr>
          <w:rFonts w:ascii="Calibri" w:hAnsi="Calibri"/>
          <w:b w:val="0"/>
          <w:color w:val="17202A"/>
          <w:sz w:val="22"/>
        </w:rPr>
        <w:t>Enterprise si el gap no puede resolverse de forma mantenible.</w:t>
      </w:r>
    </w:p>
    <w:p>
      <w:pPr>
        <w:pStyle w:val="Heading2"/>
      </w:pPr>
      <w:r>
        <w:rPr>
          <w:rFonts w:ascii="Calibri" w:hAnsi="Calibri"/>
          <w:b/>
          <w:color w:val="2E74B5"/>
          <w:sz w:val="26"/>
        </w:rPr>
        <w:t>6.2. Health checks y failover</w:t>
      </w:r>
    </w:p>
    <w:p>
      <w:r>
        <w:rPr>
          <w:rFonts w:ascii="Calibri" w:hAnsi="Calibri"/>
          <w:b w:val="0"/>
          <w:color w:val="17202A"/>
          <w:sz w:val="22"/>
        </w:rPr>
        <w:t>Determinar si AFD realmente balancea varios endpoints o si el grupo contiene un único servicio gestionado. Si se necesitan probes y failover explícitos, Cloudflare Load Balancing es un add-on y debe incluirse en el coste y diseño.</w:t>
      </w:r>
    </w:p>
    <w:p>
      <w:pPr>
        <w:pStyle w:val="Heading2"/>
      </w:pPr>
      <w:r>
        <w:rPr>
          <w:rFonts w:ascii="Calibri" w:hAnsi="Calibri"/>
          <w:b/>
          <w:color w:val="2E74B5"/>
          <w:sz w:val="26"/>
        </w:rPr>
        <w:t>6.3. Logs</w:t>
      </w:r>
    </w:p>
    <w:p>
      <w:r>
        <w:rPr>
          <w:rFonts w:ascii="Calibri" w:hAnsi="Calibri"/>
          <w:b w:val="0"/>
          <w:color w:val="17202A"/>
          <w:sz w:val="22"/>
        </w:rPr>
        <w:t>Business ofrece paneles y analítica, pero no Logpush HTTP. Acordar:</w:t>
      </w:r>
    </w:p>
    <w:p>
      <w:pPr>
        <w:numPr>
          <w:ilvl w:val="0"/>
          <w:numId w:val="10"/>
        </w:numPr>
      </w:pPr>
      <w:r>
        <w:rPr>
          <w:rFonts w:ascii="Calibri" w:hAnsi="Calibri"/>
          <w:b w:val="0"/>
          <w:color w:val="17202A"/>
          <w:sz w:val="22"/>
        </w:rPr>
        <w:t>Qué incidentes se pueden diagnosticar con datos agregados.</w:t>
      </w:r>
    </w:p>
    <w:p>
      <w:pPr>
        <w:numPr>
          <w:ilvl w:val="0"/>
          <w:numId w:val="10"/>
        </w:numPr>
      </w:pPr>
      <w:r>
        <w:rPr>
          <w:rFonts w:ascii="Calibri" w:hAnsi="Calibri"/>
          <w:b w:val="0"/>
          <w:color w:val="17202A"/>
          <w:sz w:val="22"/>
        </w:rPr>
        <w:t>Qué logs seguirán existiendo en SAP, Application Gateway y WordPress.</w:t>
      </w:r>
    </w:p>
    <w:p>
      <w:pPr>
        <w:numPr>
          <w:ilvl w:val="0"/>
          <w:numId w:val="10"/>
        </w:numPr>
      </w:pPr>
      <w:r>
        <w:rPr>
          <w:rFonts w:ascii="Calibri" w:hAnsi="Calibri"/>
          <w:b w:val="0"/>
          <w:color w:val="17202A"/>
          <w:sz w:val="22"/>
        </w:rPr>
        <w:t>Si hay requisito SIEM o auditoría.</w:t>
      </w:r>
    </w:p>
    <w:p>
      <w:pPr>
        <w:numPr>
          <w:ilvl w:val="0"/>
          <w:numId w:val="10"/>
        </w:numPr>
      </w:pPr>
      <w:r>
        <w:rPr>
          <w:rFonts w:ascii="Calibri" w:hAnsi="Calibri"/>
          <w:b w:val="0"/>
          <w:color w:val="17202A"/>
          <w:sz w:val="22"/>
        </w:rPr>
        <w:t>Si la pérdida de detalle es aceptable.</w:t>
      </w:r>
    </w:p>
    <w:p>
      <w:pPr>
        <w:pStyle w:val="Heading2"/>
      </w:pPr>
      <w:r>
        <w:rPr>
          <w:rFonts w:ascii="Calibri" w:hAnsi="Calibri"/>
          <w:b/>
          <w:color w:val="2E74B5"/>
          <w:sz w:val="26"/>
        </w:rPr>
        <w:t>6.4. Bots y rate limiting</w:t>
      </w:r>
    </w:p>
    <w:p>
      <w:r>
        <w:rPr>
          <w:rFonts w:ascii="Calibri" w:hAnsi="Calibri"/>
          <w:b w:val="0"/>
          <w:color w:val="17202A"/>
          <w:sz w:val="22"/>
        </w:rPr>
        <w:t>Business ofrece Super Bot Fight Mode y cinco reglas de rate limiting. Priorizar y comprobar que no se necesita Bot Management por endpoint o rate limiting con claves avanzadas.</w:t>
      </w:r>
    </w:p>
    <w:p>
      <w:pPr>
        <w:pStyle w:val="Heading1"/>
      </w:pPr>
      <w:r>
        <w:rPr>
          <w:rFonts w:ascii="Calibri" w:hAnsi="Calibri"/>
          <w:b/>
          <w:color w:val="2E74B5"/>
          <w:sz w:val="32"/>
        </w:rPr>
        <w:t>7. Diseño de DNS</w:t>
      </w:r>
    </w:p>
    <w:p>
      <w:pPr>
        <w:pStyle w:val="Heading2"/>
      </w:pPr>
      <w:r>
        <w:rPr>
          <w:rFonts w:ascii="Calibri" w:hAnsi="Calibri"/>
          <w:b/>
          <w:color w:val="2E74B5"/>
          <w:sz w:val="26"/>
        </w:rPr>
        <w:t>7.1. CNAME parcial</w:t>
      </w:r>
    </w:p>
    <w:p>
      <w:r>
        <w:rPr>
          <w:rFonts w:ascii="Calibri" w:hAnsi="Calibri"/>
          <w:b w:val="0"/>
          <w:color w:val="17202A"/>
          <w:sz w:val="22"/>
        </w:rPr>
        <w:t>Pasos conceptuales:</w:t>
      </w:r>
    </w:p>
    <w:p>
      <w:pPr>
        <w:numPr>
          <w:ilvl w:val="0"/>
          <w:numId w:val="13"/>
        </w:numPr>
      </w:pPr>
      <w:r>
        <w:rPr>
          <w:rFonts w:ascii="Calibri" w:hAnsi="Calibri"/>
          <w:b w:val="0"/>
          <w:color w:val="17202A"/>
          <w:sz w:val="22"/>
        </w:rPr>
        <w:t>Añadir la zona a Cloudflare como configuración parcial.</w:t>
      </w:r>
    </w:p>
    <w:p>
      <w:pPr>
        <w:numPr>
          <w:ilvl w:val="0"/>
          <w:numId w:val="13"/>
        </w:numPr>
      </w:pPr>
      <w:r>
        <w:rPr>
          <w:rFonts w:ascii="Calibri" w:hAnsi="Calibri"/>
          <w:b w:val="0"/>
          <w:color w:val="17202A"/>
          <w:sz w:val="22"/>
        </w:rPr>
        <w:t xml:space="preserve">Crear los hostnames y obtener sus destinos </w:t>
      </w:r>
      <w:r>
        <w:rPr>
          <w:rFonts w:ascii="Courier New" w:hAnsi="Courier New"/>
          <w:color w:val="1F4D78"/>
          <w:sz w:val="21"/>
          <w:shd w:fill="EEF2F6"/>
        </w:rPr>
        <w:t>cdn.cloudflare.net</w:t>
      </w:r>
      <w:r>
        <w:rPr>
          <w:rFonts w:ascii="Calibri" w:hAnsi="Calibri"/>
          <w:b w:val="0"/>
          <w:color w:val="17202A"/>
          <w:sz w:val="22"/>
        </w:rPr>
        <w:t>.</w:t>
      </w:r>
    </w:p>
    <w:p>
      <w:pPr>
        <w:numPr>
          <w:ilvl w:val="0"/>
          <w:numId w:val="13"/>
        </w:numPr>
      </w:pPr>
      <w:r>
        <w:rPr>
          <w:rFonts w:ascii="Calibri" w:hAnsi="Calibri"/>
          <w:b w:val="0"/>
          <w:color w:val="17202A"/>
          <w:sz w:val="22"/>
        </w:rPr>
        <w:t>Mantener Azure DNS como autoritativo.</w:t>
      </w:r>
    </w:p>
    <w:p>
      <w:pPr>
        <w:numPr>
          <w:ilvl w:val="0"/>
          <w:numId w:val="13"/>
        </w:numPr>
      </w:pPr>
      <w:r>
        <w:rPr>
          <w:rFonts w:ascii="Calibri" w:hAnsi="Calibri"/>
          <w:b w:val="0"/>
          <w:color w:val="17202A"/>
          <w:sz w:val="22"/>
        </w:rPr>
        <w:t>Cambiar únicamente los registros web seleccionados.</w:t>
      </w:r>
    </w:p>
    <w:p>
      <w:pPr>
        <w:numPr>
          <w:ilvl w:val="0"/>
          <w:numId w:val="13"/>
        </w:numPr>
      </w:pPr>
      <w:r>
        <w:rPr>
          <w:rFonts w:ascii="Calibri" w:hAnsi="Calibri"/>
          <w:b w:val="0"/>
          <w:color w:val="17202A"/>
          <w:sz w:val="22"/>
        </w:rPr>
        <w:t>Mantener correo, DKIM, DMARC, delegaciones y validaciones sin cambios.</w:t>
      </w:r>
    </w:p>
    <w:p>
      <w:pPr>
        <w:pStyle w:val="Heading2"/>
      </w:pPr>
      <w:r>
        <w:rPr>
          <w:rFonts w:ascii="Calibri" w:hAnsi="Calibri"/>
          <w:b/>
          <w:color w:val="2E74B5"/>
          <w:sz w:val="26"/>
        </w:rPr>
        <w:t>7.2. Apex</w:t>
      </w:r>
    </w:p>
    <w:p>
      <w:r>
        <w:rPr>
          <w:rFonts w:ascii="Calibri" w:hAnsi="Calibri"/>
          <w:b w:val="0"/>
          <w:color w:val="17202A"/>
          <w:sz w:val="22"/>
        </w:rPr>
        <w:t xml:space="preserve">Confirmar cómo Azure DNS resuelve el dominio raíz y dónde se ejecuta el 301 hacia </w:t>
      </w:r>
      <w:r>
        <w:rPr>
          <w:rFonts w:ascii="Courier New" w:hAnsi="Courier New"/>
          <w:color w:val="1F4D78"/>
          <w:sz w:val="21"/>
          <w:shd w:fill="EEF2F6"/>
        </w:rPr>
        <w:t>www</w:t>
      </w:r>
      <w:r>
        <w:rPr>
          <w:rFonts w:ascii="Calibri" w:hAnsi="Calibri"/>
          <w:b w:val="0"/>
          <w:color w:val="17202A"/>
          <w:sz w:val="22"/>
        </w:rPr>
        <w:t>. Si Azure DNS no puede usar el tipo de alias necesario para la configuración parcial, diseñar un endpoint de redirección o considerar zona completa.</w:t>
      </w:r>
    </w:p>
    <w:p>
      <w:pPr>
        <w:pStyle w:val="Heading2"/>
      </w:pPr>
      <w:r>
        <w:rPr>
          <w:rFonts w:ascii="Calibri" w:hAnsi="Calibri"/>
          <w:b/>
          <w:color w:val="2E74B5"/>
          <w:sz w:val="26"/>
        </w:rPr>
        <w:t>7.3. TTL</w:t>
      </w:r>
    </w:p>
    <w:p>
      <w:pPr>
        <w:numPr>
          <w:ilvl w:val="0"/>
          <w:numId w:val="10"/>
        </w:numPr>
      </w:pPr>
      <w:r>
        <w:rPr>
          <w:rFonts w:ascii="Calibri" w:hAnsi="Calibri"/>
          <w:b w:val="0"/>
          <w:color w:val="17202A"/>
          <w:sz w:val="22"/>
        </w:rPr>
        <w:t>Reducir TTL antes de la ventana.</w:t>
      </w:r>
    </w:p>
    <w:p>
      <w:pPr>
        <w:numPr>
          <w:ilvl w:val="0"/>
          <w:numId w:val="10"/>
        </w:numPr>
      </w:pPr>
      <w:r>
        <w:rPr>
          <w:rFonts w:ascii="Calibri" w:hAnsi="Calibri"/>
          <w:b w:val="0"/>
          <w:color w:val="17202A"/>
          <w:sz w:val="22"/>
        </w:rPr>
        <w:t>Registrar valor anterior y nuevo.</w:t>
      </w:r>
    </w:p>
    <w:p>
      <w:pPr>
        <w:numPr>
          <w:ilvl w:val="0"/>
          <w:numId w:val="10"/>
        </w:numPr>
      </w:pPr>
      <w:r>
        <w:rPr>
          <w:rFonts w:ascii="Calibri" w:hAnsi="Calibri"/>
          <w:b w:val="0"/>
          <w:color w:val="17202A"/>
          <w:sz w:val="22"/>
        </w:rPr>
        <w:t>Tener preparado el CNAME de rollback.</w:t>
      </w:r>
    </w:p>
    <w:p>
      <w:pPr>
        <w:numPr>
          <w:ilvl w:val="0"/>
          <w:numId w:val="10"/>
        </w:numPr>
      </w:pPr>
      <w:r>
        <w:rPr>
          <w:rFonts w:ascii="Calibri" w:hAnsi="Calibri"/>
          <w:b w:val="0"/>
          <w:color w:val="17202A"/>
          <w:sz w:val="22"/>
        </w:rPr>
        <w:t>No interpretar el TTL como garantía absoluta de propagación.</w:t>
      </w:r>
    </w:p>
    <w:p>
      <w:pPr>
        <w:pStyle w:val="Heading1"/>
      </w:pPr>
      <w:r>
        <w:rPr>
          <w:rFonts w:ascii="Calibri" w:hAnsi="Calibri"/>
          <w:b/>
          <w:color w:val="2E74B5"/>
          <w:sz w:val="32"/>
        </w:rPr>
        <w:t>8. Diseño de TLS</w:t>
      </w:r>
    </w:p>
    <w:p>
      <w:r>
        <w:rPr>
          <w:rFonts w:ascii="Calibri" w:hAnsi="Calibri"/>
          <w:b w:val="0"/>
          <w:color w:val="17202A"/>
          <w:sz w:val="22"/>
        </w:rPr>
        <w:t>Checklist:</w:t>
      </w:r>
    </w:p>
    <w:p>
      <w:pPr>
        <w:numPr>
          <w:ilvl w:val="0"/>
          <w:numId w:val="10"/>
        </w:numPr>
      </w:pPr>
      <w:r>
        <w:rPr>
          <w:rFonts w:ascii="Calibri" w:hAnsi="Calibri"/>
          <w:b w:val="0"/>
          <w:color w:val="17202A"/>
          <w:sz w:val="22"/>
        </w:rPr>
        <w:t>Certificados edge emitidos y activos.</w:t>
      </w:r>
    </w:p>
    <w:p>
      <w:pPr>
        <w:numPr>
          <w:ilvl w:val="0"/>
          <w:numId w:val="10"/>
        </w:numPr>
      </w:pPr>
      <w:r>
        <w:rPr>
          <w:rFonts w:ascii="Calibri" w:hAnsi="Calibri"/>
          <w:b w:val="0"/>
          <w:color w:val="17202A"/>
          <w:sz w:val="22"/>
        </w:rPr>
        <w:t xml:space="preserve">Cobertura de apex, </w:t>
      </w:r>
      <w:r>
        <w:rPr>
          <w:rFonts w:ascii="Courier New" w:hAnsi="Courier New"/>
          <w:color w:val="1F4D78"/>
          <w:sz w:val="21"/>
          <w:shd w:fill="EEF2F6"/>
        </w:rPr>
        <w:t>www</w:t>
      </w:r>
      <w:r>
        <w:rPr>
          <w:rFonts w:ascii="Calibri" w:hAnsi="Calibri"/>
          <w:b w:val="0"/>
          <w:color w:val="17202A"/>
          <w:sz w:val="22"/>
        </w:rPr>
        <w:t>, API y otros hostnames migrados.</w:t>
      </w:r>
    </w:p>
    <w:p>
      <w:pPr>
        <w:numPr>
          <w:ilvl w:val="0"/>
          <w:numId w:val="10"/>
        </w:numPr>
      </w:pPr>
      <w:r>
        <w:rPr>
          <w:rFonts w:ascii="Calibri" w:hAnsi="Calibri"/>
          <w:b w:val="0"/>
          <w:color w:val="17202A"/>
          <w:sz w:val="22"/>
        </w:rPr>
        <w:t>CAA compatible.</w:t>
      </w:r>
    </w:p>
    <w:p>
      <w:pPr>
        <w:numPr>
          <w:ilvl w:val="0"/>
          <w:numId w:val="10"/>
        </w:numPr>
      </w:pPr>
      <w:r>
        <w:rPr>
          <w:rFonts w:ascii="Calibri" w:hAnsi="Calibri"/>
          <w:b w:val="0"/>
          <w:color w:val="17202A"/>
          <w:sz w:val="22"/>
        </w:rPr>
        <w:t>Modo Full (strict).</w:t>
      </w:r>
    </w:p>
    <w:p>
      <w:pPr>
        <w:numPr>
          <w:ilvl w:val="0"/>
          <w:numId w:val="10"/>
        </w:numPr>
      </w:pPr>
      <w:r>
        <w:rPr>
          <w:rFonts w:ascii="Calibri" w:hAnsi="Calibri"/>
          <w:b w:val="0"/>
          <w:color w:val="17202A"/>
          <w:sz w:val="22"/>
        </w:rPr>
        <w:t>Certificado válido en SAP/Application Gateway.</w:t>
      </w:r>
    </w:p>
    <w:p>
      <w:pPr>
        <w:numPr>
          <w:ilvl w:val="0"/>
          <w:numId w:val="10"/>
        </w:numPr>
      </w:pPr>
      <w:r>
        <w:rPr>
          <w:rFonts w:ascii="Calibri" w:hAnsi="Calibri"/>
          <w:b w:val="0"/>
          <w:color w:val="17202A"/>
          <w:sz w:val="22"/>
        </w:rPr>
        <w:t>SNI correcto.</w:t>
      </w:r>
    </w:p>
    <w:p>
      <w:pPr>
        <w:numPr>
          <w:ilvl w:val="0"/>
          <w:numId w:val="10"/>
        </w:numPr>
      </w:pPr>
      <w:r>
        <w:rPr>
          <w:rFonts w:ascii="Calibri" w:hAnsi="Calibri"/>
          <w:b w:val="0"/>
          <w:color w:val="17202A"/>
          <w:sz w:val="22"/>
        </w:rPr>
        <w:t>HTTP→HTTPS sin cadenas innecesarias.</w:t>
      </w:r>
    </w:p>
    <w:p>
      <w:pPr>
        <w:numPr>
          <w:ilvl w:val="0"/>
          <w:numId w:val="10"/>
        </w:numPr>
      </w:pPr>
      <w:r>
        <w:rPr>
          <w:rFonts w:ascii="Calibri" w:hAnsi="Calibri"/>
          <w:b w:val="0"/>
          <w:color w:val="17202A"/>
          <w:sz w:val="22"/>
        </w:rPr>
        <w:t>TLS mínimo y compatibilidad de clientes revisados.</w:t>
      </w:r>
    </w:p>
    <w:p>
      <w:pPr>
        <w:pStyle w:val="Heading1"/>
      </w:pPr>
      <w:r>
        <w:rPr>
          <w:rFonts w:ascii="Calibri" w:hAnsi="Calibri"/>
          <w:b/>
          <w:color w:val="2E74B5"/>
          <w:sz w:val="32"/>
        </w:rPr>
        <w:t>9. Diseño de reglas</w:t>
      </w:r>
    </w:p>
    <w:p>
      <w:pPr>
        <w:pStyle w:val="Heading2"/>
      </w:pPr>
      <w:r>
        <w:rPr>
          <w:rFonts w:ascii="Calibri" w:hAnsi="Calibri"/>
          <w:b/>
          <w:color w:val="2E74B5"/>
          <w:sz w:val="26"/>
        </w:rPr>
        <w:t>9.1. Redirects</w:t>
      </w:r>
    </w:p>
    <w:p>
      <w:r>
        <w:rPr>
          <w:rFonts w:ascii="Calibri" w:hAnsi="Calibri"/>
          <w:b w:val="0"/>
          <w:color w:val="17202A"/>
          <w:sz w:val="22"/>
        </w:rPr>
        <w:t>Migrar en este orden:</w:t>
      </w:r>
    </w:p>
    <w:p>
      <w:pPr>
        <w:numPr>
          <w:ilvl w:val="0"/>
          <w:numId w:val="14"/>
        </w:numPr>
      </w:pPr>
      <w:r>
        <w:rPr>
          <w:rFonts w:ascii="Calibri" w:hAnsi="Calibri"/>
          <w:b w:val="0"/>
          <w:color w:val="17202A"/>
          <w:sz w:val="22"/>
        </w:rPr>
        <w:t>HTTP→HTTPS.</w:t>
      </w:r>
    </w:p>
    <w:p>
      <w:pPr>
        <w:numPr>
          <w:ilvl w:val="0"/>
          <w:numId w:val="14"/>
        </w:numPr>
      </w:pPr>
      <w:r>
        <w:rPr>
          <w:rFonts w:ascii="Calibri" w:hAnsi="Calibri"/>
          <w:b w:val="0"/>
          <w:color w:val="17202A"/>
          <w:sz w:val="22"/>
        </w:rPr>
        <w:t>Apex→www.</w:t>
      </w:r>
    </w:p>
    <w:p>
      <w:pPr>
        <w:numPr>
          <w:ilvl w:val="0"/>
          <w:numId w:val="14"/>
        </w:numPr>
      </w:pPr>
      <w:r>
        <w:rPr>
          <w:rFonts w:ascii="Calibri" w:hAnsi="Calibri"/>
          <w:b w:val="0"/>
          <w:color w:val="17202A"/>
          <w:sz w:val="22"/>
        </w:rPr>
        <w:t>Home canónica del idioma.</w:t>
      </w:r>
    </w:p>
    <w:p>
      <w:pPr>
        <w:numPr>
          <w:ilvl w:val="0"/>
          <w:numId w:val="14"/>
        </w:numPr>
      </w:pPr>
      <w:r>
        <w:rPr>
          <w:rFonts w:ascii="Calibri" w:hAnsi="Calibri"/>
          <w:b w:val="0"/>
          <w:color w:val="17202A"/>
          <w:sz w:val="22"/>
        </w:rPr>
        <w:t>Blog heredado→ruta actual.</w:t>
      </w:r>
    </w:p>
    <w:p>
      <w:pPr>
        <w:numPr>
          <w:ilvl w:val="0"/>
          <w:numId w:val="14"/>
        </w:numPr>
      </w:pPr>
      <w:r>
        <w:rPr>
          <w:rFonts w:ascii="Calibri" w:hAnsi="Calibri"/>
          <w:b w:val="0"/>
          <w:color w:val="17202A"/>
          <w:sz w:val="22"/>
        </w:rPr>
        <w:t>Tiendas antiguas→fichas nuevas.</w:t>
      </w:r>
    </w:p>
    <w:p>
      <w:pPr>
        <w:numPr>
          <w:ilvl w:val="0"/>
          <w:numId w:val="14"/>
        </w:numPr>
      </w:pPr>
      <w:r>
        <w:rPr>
          <w:rFonts w:ascii="Calibri" w:hAnsi="Calibri"/>
          <w:b w:val="0"/>
          <w:color w:val="17202A"/>
          <w:sz w:val="22"/>
        </w:rPr>
        <w:t>Redirector de URLs heredadas por mercado.</w:t>
      </w:r>
    </w:p>
    <w:p>
      <w:r>
        <w:rPr>
          <w:rFonts w:ascii="Calibri" w:hAnsi="Calibri"/>
          <w:b w:val="0"/>
          <w:color w:val="17202A"/>
          <w:sz w:val="22"/>
        </w:rPr>
        <w:t>Por cada redirect comprobar:</w:t>
      </w:r>
    </w:p>
    <w:p>
      <w:pPr>
        <w:numPr>
          <w:ilvl w:val="0"/>
          <w:numId w:val="10"/>
        </w:numPr>
      </w:pPr>
      <w:r>
        <w:rPr>
          <w:rFonts w:ascii="Calibri" w:hAnsi="Calibri"/>
          <w:b w:val="0"/>
          <w:color w:val="17202A"/>
          <w:sz w:val="22"/>
        </w:rPr>
        <w:t>301/302 correcto.</w:t>
      </w:r>
    </w:p>
    <w:p>
      <w:pPr>
        <w:numPr>
          <w:ilvl w:val="0"/>
          <w:numId w:val="10"/>
        </w:numPr>
      </w:pPr>
      <w:r>
        <w:rPr>
          <w:rFonts w:ascii="Calibri" w:hAnsi="Calibri"/>
          <w:b w:val="0"/>
          <w:color w:val="17202A"/>
          <w:sz w:val="22"/>
        </w:rPr>
        <w:t>Conservación o eliminación de query string.</w:t>
      </w:r>
    </w:p>
    <w:p>
      <w:pPr>
        <w:numPr>
          <w:ilvl w:val="0"/>
          <w:numId w:val="10"/>
        </w:numPr>
      </w:pPr>
      <w:r>
        <w:rPr>
          <w:rFonts w:ascii="Calibri" w:hAnsi="Calibri"/>
          <w:b w:val="0"/>
          <w:color w:val="17202A"/>
          <w:sz w:val="22"/>
        </w:rPr>
        <w:t>Conservación de path y artículo.</w:t>
      </w:r>
    </w:p>
    <w:p>
      <w:pPr>
        <w:numPr>
          <w:ilvl w:val="0"/>
          <w:numId w:val="10"/>
        </w:numPr>
      </w:pPr>
      <w:r>
        <w:rPr>
          <w:rFonts w:ascii="Calibri" w:hAnsi="Calibri"/>
          <w:b w:val="0"/>
          <w:color w:val="17202A"/>
          <w:sz w:val="22"/>
        </w:rPr>
        <w:t>Máximo un salto cuando sea posible.</w:t>
      </w:r>
    </w:p>
    <w:p>
      <w:pPr>
        <w:numPr>
          <w:ilvl w:val="0"/>
          <w:numId w:val="10"/>
        </w:numPr>
      </w:pPr>
      <w:r>
        <w:rPr>
          <w:rFonts w:ascii="Calibri" w:hAnsi="Calibri"/>
          <w:b w:val="0"/>
          <w:color w:val="17202A"/>
          <w:sz w:val="22"/>
        </w:rPr>
        <w:t>Anti-bucle.</w:t>
      </w:r>
    </w:p>
    <w:p>
      <w:pPr>
        <w:numPr>
          <w:ilvl w:val="0"/>
          <w:numId w:val="10"/>
        </w:numPr>
      </w:pPr>
      <w:r>
        <w:rPr>
          <w:rFonts w:ascii="Calibri" w:hAnsi="Calibri"/>
          <w:b w:val="0"/>
          <w:color w:val="17202A"/>
          <w:sz w:val="22"/>
        </w:rPr>
        <w:t>Destino HTTPS canónico.</w:t>
      </w:r>
    </w:p>
    <w:p>
      <w:pPr>
        <w:pStyle w:val="Heading2"/>
      </w:pPr>
      <w:r>
        <w:rPr>
          <w:rFonts w:ascii="Calibri" w:hAnsi="Calibri"/>
          <w:b/>
          <w:color w:val="2E74B5"/>
          <w:sz w:val="26"/>
        </w:rPr>
        <w:t>9.2. Rewrites</w:t>
      </w:r>
    </w:p>
    <w:p>
      <w:pPr>
        <w:numPr>
          <w:ilvl w:val="0"/>
          <w:numId w:val="10"/>
        </w:numPr>
      </w:pPr>
      <w:r>
        <w:rPr>
          <w:rFonts w:ascii="Calibri" w:hAnsi="Calibri"/>
          <w:b w:val="0"/>
          <w:color w:val="17202A"/>
          <w:sz w:val="22"/>
        </w:rPr>
        <w:t>robots/sitemap por mercado.</w:t>
      </w:r>
    </w:p>
    <w:p>
      <w:pPr>
        <w:numPr>
          <w:ilvl w:val="0"/>
          <w:numId w:val="10"/>
        </w:numPr>
      </w:pPr>
      <w:r>
        <w:rPr>
          <w:rFonts w:ascii="Calibri" w:hAnsi="Calibri"/>
          <w:b w:val="0"/>
          <w:color w:val="17202A"/>
          <w:sz w:val="22"/>
        </w:rPr>
        <w:t>Prefijo de idioma para producto/categoría.</w:t>
      </w:r>
    </w:p>
    <w:p>
      <w:pPr>
        <w:numPr>
          <w:ilvl w:val="0"/>
          <w:numId w:val="10"/>
        </w:numPr>
      </w:pPr>
      <w:r>
        <w:rPr>
          <w:rFonts w:ascii="Calibri" w:hAnsi="Calibri"/>
          <w:b w:val="0"/>
          <w:color w:val="17202A"/>
          <w:sz w:val="22"/>
        </w:rPr>
        <w:t>Rewrites técnicos adicionales encontrados en inventario.</w:t>
      </w:r>
    </w:p>
    <w:p>
      <w:r>
        <w:rPr>
          <w:rFonts w:ascii="Calibri" w:hAnsi="Calibri"/>
          <w:b w:val="0"/>
          <w:color w:val="17202A"/>
          <w:sz w:val="22"/>
        </w:rPr>
        <w:t>Comprobar URI visible, URI de origen y orden con redirects.</w:t>
      </w:r>
    </w:p>
    <w:p>
      <w:pPr>
        <w:pStyle w:val="Heading2"/>
      </w:pPr>
      <w:r>
        <w:rPr>
          <w:rFonts w:ascii="Calibri" w:hAnsi="Calibri"/>
          <w:b/>
          <w:color w:val="2E74B5"/>
          <w:sz w:val="26"/>
        </w:rPr>
        <w:t>9.3. Orígenes</w:t>
      </w:r>
    </w:p>
    <w:p>
      <w:r>
        <w:rPr>
          <w:rFonts w:ascii="Calibri" w:hAnsi="Calibri"/>
          <w:b w:val="0"/>
          <w:color w:val="17202A"/>
          <w:sz w:val="22"/>
        </w:rPr>
        <w:t>Definir explícitamente:</w:t>
      </w:r>
    </w:p>
    <w:p>
      <w:pPr>
        <w:numPr>
          <w:ilvl w:val="0"/>
          <w:numId w:val="10"/>
        </w:numPr>
      </w:pPr>
      <w:r>
        <w:rPr>
          <w:rFonts w:ascii="Calibri" w:hAnsi="Calibri"/>
          <w:b w:val="0"/>
          <w:color w:val="17202A"/>
          <w:sz w:val="22"/>
        </w:rPr>
        <w:t>Storefront SAP.</w:t>
      </w:r>
    </w:p>
    <w:p>
      <w:pPr>
        <w:numPr>
          <w:ilvl w:val="0"/>
          <w:numId w:val="10"/>
        </w:numPr>
      </w:pPr>
      <w:r>
        <w:rPr>
          <w:rFonts w:ascii="Calibri" w:hAnsi="Calibri"/>
          <w:b w:val="0"/>
          <w:color w:val="17202A"/>
          <w:sz w:val="22"/>
        </w:rPr>
        <w:t>API SAP.</w:t>
      </w:r>
    </w:p>
    <w:p>
      <w:pPr>
        <w:numPr>
          <w:ilvl w:val="0"/>
          <w:numId w:val="10"/>
        </w:numPr>
      </w:pPr>
      <w:r>
        <w:rPr>
          <w:rFonts w:ascii="Calibri" w:hAnsi="Calibri"/>
          <w:b w:val="0"/>
          <w:color w:val="17202A"/>
          <w:sz w:val="22"/>
        </w:rPr>
        <w:t>Application Gateway/blog.</w:t>
      </w:r>
    </w:p>
    <w:p>
      <w:pPr>
        <w:numPr>
          <w:ilvl w:val="0"/>
          <w:numId w:val="10"/>
        </w:numPr>
      </w:pPr>
      <w:r>
        <w:rPr>
          <w:rFonts w:ascii="Calibri" w:hAnsi="Calibri"/>
          <w:b w:val="0"/>
          <w:color w:val="17202A"/>
          <w:sz w:val="22"/>
        </w:rPr>
        <w:t>Servicio redirector si continúa como origen.</w:t>
      </w:r>
    </w:p>
    <w:p>
      <w:r>
        <w:rPr>
          <w:rFonts w:ascii="Calibri" w:hAnsi="Calibri"/>
          <w:b w:val="0"/>
          <w:color w:val="17202A"/>
          <w:sz w:val="22"/>
        </w:rPr>
        <w:t xml:space="preserve">Evitar que una regla general de storefront capture </w:t>
      </w:r>
      <w:r>
        <w:rPr>
          <w:rFonts w:ascii="Courier New" w:hAnsi="Courier New"/>
          <w:color w:val="1F4D78"/>
          <w:sz w:val="21"/>
          <w:shd w:fill="EEF2F6"/>
        </w:rPr>
        <w:t>/pt/blog</w:t>
      </w:r>
      <w:r>
        <w:rPr>
          <w:rFonts w:ascii="Calibri" w:hAnsi="Calibri"/>
          <w:b w:val="0"/>
          <w:color w:val="17202A"/>
          <w:sz w:val="22"/>
        </w:rPr>
        <w:t xml:space="preserve"> o la API antes de la regla específica.</w:t>
      </w:r>
    </w:p>
    <w:p>
      <w:pPr>
        <w:pStyle w:val="Heading1"/>
      </w:pPr>
      <w:r>
        <w:rPr>
          <w:rFonts w:ascii="Calibri" w:hAnsi="Calibri"/>
          <w:b/>
          <w:color w:val="2E74B5"/>
          <w:sz w:val="32"/>
        </w:rPr>
        <w:t>10. Diseño inicial de caché</w:t>
      </w:r>
    </w:p>
    <w:p>
      <w:pPr>
        <w:pStyle w:val="Heading2"/>
      </w:pPr>
      <w:r>
        <w:rPr>
          <w:rFonts w:ascii="Calibri" w:hAnsi="Calibri"/>
          <w:b/>
          <w:color w:val="2E74B5"/>
          <w:sz w:val="26"/>
        </w:rPr>
        <w:t>10.1. Principio de despliegue</w:t>
      </w:r>
    </w:p>
    <w:p>
      <w:r>
        <w:rPr>
          <w:rFonts w:ascii="Calibri" w:hAnsi="Calibri"/>
          <w:b w:val="0"/>
          <w:color w:val="17202A"/>
          <w:sz w:val="22"/>
        </w:rPr>
        <w:t>Durante el primer cutover, cachear únicamente estáticos de riesgo bajo. No intentar mejorar todo el rendimiento el mismo día que se cambia el proxy.</w:t>
      </w:r>
    </w:p>
    <w:p>
      <w:pPr>
        <w:pStyle w:val="Heading2"/>
      </w:pPr>
      <w:r>
        <w:rPr>
          <w:rFonts w:ascii="Calibri" w:hAnsi="Calibri"/>
          <w:b/>
          <w:color w:val="2E74B5"/>
          <w:sz w:val="26"/>
        </w:rPr>
        <w:t>10.2. Reglas de bypass prioritarias</w:t>
      </w:r>
    </w:p>
    <w:p>
      <w:pPr>
        <w:numPr>
          <w:ilvl w:val="0"/>
          <w:numId w:val="10"/>
        </w:numPr>
      </w:pPr>
      <w:r>
        <w:rPr>
          <w:rFonts w:ascii="Calibri" w:hAnsi="Calibri"/>
          <w:b w:val="0"/>
          <w:color w:val="17202A"/>
          <w:sz w:val="22"/>
        </w:rPr>
        <w:t>Métodos distintos de GET/HEAD.</w:t>
      </w:r>
    </w:p>
    <w:p>
      <w:pPr>
        <w:numPr>
          <w:ilvl w:val="0"/>
          <w:numId w:val="10"/>
        </w:numPr>
      </w:pPr>
      <w:r>
        <w:rPr>
          <w:rFonts w:ascii="Calibri" w:hAnsi="Calibri"/>
          <w:b w:val="0"/>
          <w:color w:val="17202A"/>
          <w:sz w:val="22"/>
        </w:rPr>
        <w:t>Authorization presente.</w:t>
      </w:r>
    </w:p>
    <w:p>
      <w:pPr>
        <w:numPr>
          <w:ilvl w:val="0"/>
          <w:numId w:val="10"/>
        </w:numPr>
      </w:pPr>
      <w:r>
        <w:rPr>
          <w:rFonts w:ascii="Calibri" w:hAnsi="Calibri"/>
          <w:b w:val="0"/>
          <w:color w:val="17202A"/>
          <w:sz w:val="22"/>
        </w:rPr>
        <w:t>Cookies de sesión/autenticación.</w:t>
      </w:r>
    </w:p>
    <w:p>
      <w:pPr>
        <w:numPr>
          <w:ilvl w:val="0"/>
          <w:numId w:val="10"/>
        </w:numPr>
      </w:pPr>
      <w:r>
        <w:rPr>
          <w:rFonts w:ascii="Calibri" w:hAnsi="Calibri"/>
          <w:b w:val="0"/>
          <w:color w:val="17202A"/>
          <w:sz w:val="22"/>
        </w:rPr>
        <w:t>Cuenta, login, recuperación y pedidos.</w:t>
      </w:r>
    </w:p>
    <w:p>
      <w:pPr>
        <w:numPr>
          <w:ilvl w:val="0"/>
          <w:numId w:val="10"/>
        </w:numPr>
      </w:pPr>
      <w:r>
        <w:rPr>
          <w:rFonts w:ascii="Calibri" w:hAnsi="Calibri"/>
          <w:b w:val="0"/>
          <w:color w:val="17202A"/>
          <w:sz w:val="22"/>
        </w:rPr>
        <w:t>Carrito y checkout.</w:t>
      </w:r>
    </w:p>
    <w:p>
      <w:pPr>
        <w:numPr>
          <w:ilvl w:val="0"/>
          <w:numId w:val="10"/>
        </w:numPr>
      </w:pPr>
      <w:r>
        <w:rPr>
          <w:rFonts w:ascii="Calibri" w:hAnsi="Calibri"/>
          <w:b w:val="0"/>
          <w:color w:val="17202A"/>
          <w:sz w:val="22"/>
        </w:rPr>
        <w:t>Pago, callbacks y webhooks.</w:t>
      </w:r>
    </w:p>
    <w:p>
      <w:pPr>
        <w:numPr>
          <w:ilvl w:val="0"/>
          <w:numId w:val="10"/>
        </w:numPr>
      </w:pPr>
      <w:r>
        <w:rPr>
          <w:rFonts w:ascii="Calibri" w:hAnsi="Calibri"/>
          <w:b w:val="0"/>
          <w:color w:val="17202A"/>
          <w:sz w:val="22"/>
        </w:rPr>
        <w:t>APIs transaccionales OCC.</w:t>
      </w:r>
    </w:p>
    <w:p>
      <w:pPr>
        <w:numPr>
          <w:ilvl w:val="0"/>
          <w:numId w:val="10"/>
        </w:numPr>
      </w:pPr>
      <w:r>
        <w:rPr>
          <w:rFonts w:ascii="Calibri" w:hAnsi="Calibri"/>
          <w:b w:val="0"/>
          <w:color w:val="17202A"/>
          <w:sz w:val="22"/>
        </w:rPr>
        <w:t>Administración y backoffice.</w:t>
      </w:r>
    </w:p>
    <w:p>
      <w:pPr>
        <w:numPr>
          <w:ilvl w:val="0"/>
          <w:numId w:val="10"/>
        </w:numPr>
      </w:pPr>
      <w:r>
        <w:rPr>
          <w:rFonts w:ascii="Calibri" w:hAnsi="Calibri"/>
          <w:b w:val="0"/>
          <w:color w:val="17202A"/>
          <w:sz w:val="22"/>
        </w:rPr>
        <w:t>Previews/editoriales.</w:t>
      </w:r>
    </w:p>
    <w:p>
      <w:r>
        <w:rPr>
          <w:rFonts w:ascii="Calibri" w:hAnsi="Calibri"/>
          <w:b w:val="0"/>
          <w:color w:val="17202A"/>
          <w:sz w:val="22"/>
        </w:rPr>
        <w:t>Los nombres exactos de cookies y rutas deben proporcionarlos los equipos internos en el diseño técnico, no en el curso público.</w:t>
      </w:r>
    </w:p>
    <w:p>
      <w:pPr>
        <w:pStyle w:val="Heading2"/>
      </w:pPr>
      <w:r>
        <w:rPr>
          <w:rFonts w:ascii="Calibri" w:hAnsi="Calibri"/>
          <w:b/>
          <w:color w:val="2E74B5"/>
          <w:sz w:val="26"/>
        </w:rPr>
        <w:t>10.3. Primera ola cacheable</w:t>
      </w:r>
    </w:p>
    <w:p>
      <w:pPr>
        <w:numPr>
          <w:ilvl w:val="0"/>
          <w:numId w:val="10"/>
        </w:numPr>
      </w:pPr>
      <w:r>
        <w:rPr>
          <w:rFonts w:ascii="Calibri" w:hAnsi="Calibri"/>
          <w:b w:val="0"/>
          <w:color w:val="17202A"/>
          <w:sz w:val="22"/>
        </w:rPr>
        <w:t>Imágenes, CSS, JS y fuentes versionadas.</w:t>
      </w:r>
    </w:p>
    <w:p>
      <w:pPr>
        <w:numPr>
          <w:ilvl w:val="0"/>
          <w:numId w:val="10"/>
        </w:numPr>
      </w:pPr>
      <w:r>
        <w:rPr>
          <w:rFonts w:ascii="Calibri" w:hAnsi="Calibri"/>
          <w:b w:val="0"/>
          <w:color w:val="17202A"/>
          <w:sz w:val="22"/>
        </w:rPr>
        <w:t>Traducciones estáticas.</w:t>
      </w:r>
    </w:p>
    <w:p>
      <w:pPr>
        <w:numPr>
          <w:ilvl w:val="0"/>
          <w:numId w:val="10"/>
        </w:numPr>
      </w:pPr>
      <w:r>
        <w:rPr>
          <w:rFonts w:ascii="Calibri" w:hAnsi="Calibri"/>
          <w:b w:val="0"/>
          <w:color w:val="17202A"/>
          <w:sz w:val="22"/>
        </w:rPr>
        <w:t>robots/sitemaps con TTL y purga controlados.</w:t>
      </w:r>
    </w:p>
    <w:p>
      <w:pPr>
        <w:numPr>
          <w:ilvl w:val="0"/>
          <w:numId w:val="10"/>
        </w:numPr>
      </w:pPr>
      <w:r>
        <w:rPr>
          <w:rFonts w:ascii="Calibri" w:hAnsi="Calibri"/>
          <w:b w:val="0"/>
          <w:color w:val="17202A"/>
          <w:sz w:val="22"/>
        </w:rPr>
        <w:t>Assets WordPress públicos si no incluyen cookies ni administración.</w:t>
      </w:r>
    </w:p>
    <w:p>
      <w:pPr>
        <w:pStyle w:val="Heading2"/>
      </w:pPr>
      <w:r>
        <w:rPr>
          <w:rFonts w:ascii="Calibri" w:hAnsi="Calibri"/>
          <w:b/>
          <w:color w:val="2E74B5"/>
          <w:sz w:val="26"/>
        </w:rPr>
        <w:t>10.4. Segunda ola</w:t>
      </w:r>
    </w:p>
    <w:p>
      <w:pPr>
        <w:numPr>
          <w:ilvl w:val="0"/>
          <w:numId w:val="10"/>
        </w:numPr>
      </w:pPr>
      <w:r>
        <w:rPr>
          <w:rFonts w:ascii="Calibri" w:hAnsi="Calibri"/>
          <w:b w:val="0"/>
          <w:color w:val="17202A"/>
          <w:sz w:val="22"/>
        </w:rPr>
        <w:t>Home anónima.</w:t>
      </w:r>
    </w:p>
    <w:p>
      <w:pPr>
        <w:numPr>
          <w:ilvl w:val="0"/>
          <w:numId w:val="10"/>
        </w:numPr>
      </w:pPr>
      <w:r>
        <w:rPr>
          <w:rFonts w:ascii="Calibri" w:hAnsi="Calibri"/>
          <w:b w:val="0"/>
          <w:color w:val="17202A"/>
          <w:sz w:val="22"/>
        </w:rPr>
        <w:t>Producto y categoría anónimos.</w:t>
      </w:r>
    </w:p>
    <w:p>
      <w:pPr>
        <w:numPr>
          <w:ilvl w:val="0"/>
          <w:numId w:val="10"/>
        </w:numPr>
      </w:pPr>
      <w:r>
        <w:rPr>
          <w:rFonts w:ascii="Calibri" w:hAnsi="Calibri"/>
          <w:b w:val="0"/>
          <w:color w:val="17202A"/>
          <w:sz w:val="22"/>
        </w:rPr>
        <w:t>Endpoints públicos de catálogo.</w:t>
      </w:r>
    </w:p>
    <w:p>
      <w:pPr>
        <w:numPr>
          <w:ilvl w:val="0"/>
          <w:numId w:val="10"/>
        </w:numPr>
      </w:pPr>
      <w:r>
        <w:rPr>
          <w:rFonts w:ascii="Calibri" w:hAnsi="Calibri"/>
          <w:b w:val="0"/>
          <w:color w:val="17202A"/>
          <w:sz w:val="22"/>
        </w:rPr>
        <w:t>Localizador de tiendas.</w:t>
      </w:r>
    </w:p>
    <w:p>
      <w:r>
        <w:rPr>
          <w:rFonts w:ascii="Calibri" w:hAnsi="Calibri"/>
          <w:b w:val="0"/>
          <w:color w:val="17202A"/>
          <w:sz w:val="22"/>
        </w:rPr>
        <w:t>Requieren pruebas de precio, stock, promoción, idioma, mercado, query y geolocalización.</w:t>
      </w:r>
    </w:p>
    <w:p>
      <w:pPr>
        <w:pStyle w:val="Heading2"/>
      </w:pPr>
      <w:r>
        <w:rPr>
          <w:rFonts w:ascii="Calibri" w:hAnsi="Calibri"/>
          <w:b/>
          <w:color w:val="2E74B5"/>
          <w:sz w:val="26"/>
        </w:rPr>
        <w:t>10.5. Tiered Cache</w:t>
      </w:r>
    </w:p>
    <w:p>
      <w:r>
        <w:rPr>
          <w:rFonts w:ascii="Calibri" w:hAnsi="Calibri"/>
          <w:b w:val="0"/>
          <w:color w:val="17202A"/>
          <w:sz w:val="22"/>
        </w:rPr>
        <w:t>Activar Smart Tiered Cache después de confirmar que los objetos son cacheables y que el origen está correctamente identificado. Medir reducción de requests al origen, no solo hit ratio local.</w:t>
      </w:r>
    </w:p>
    <w:p>
      <w:pPr>
        <w:pStyle w:val="Heading2"/>
      </w:pPr>
      <w:r>
        <w:rPr>
          <w:rFonts w:ascii="Calibri" w:hAnsi="Calibri"/>
          <w:b/>
          <w:color w:val="2E74B5"/>
          <w:sz w:val="26"/>
        </w:rPr>
        <w:t>10.6. Purga</w:t>
      </w:r>
    </w:p>
    <w:p>
      <w:pPr>
        <w:numPr>
          <w:ilvl w:val="0"/>
          <w:numId w:val="10"/>
        </w:numPr>
      </w:pPr>
      <w:r>
        <w:rPr>
          <w:rFonts w:ascii="Calibri" w:hAnsi="Calibri"/>
          <w:b w:val="0"/>
          <w:color w:val="17202A"/>
          <w:sz w:val="22"/>
        </w:rPr>
        <w:t>Definir API token de mínimo privilegio.</w:t>
      </w:r>
    </w:p>
    <w:p>
      <w:pPr>
        <w:numPr>
          <w:ilvl w:val="0"/>
          <w:numId w:val="10"/>
        </w:numPr>
      </w:pPr>
      <w:r>
        <w:rPr>
          <w:rFonts w:ascii="Calibri" w:hAnsi="Calibri"/>
          <w:b w:val="0"/>
          <w:color w:val="17202A"/>
          <w:sz w:val="22"/>
        </w:rPr>
        <w:t>Integrar despliegues de estáticos con purge por URL/prefijo.</w:t>
      </w:r>
    </w:p>
    <w:p>
      <w:pPr>
        <w:numPr>
          <w:ilvl w:val="0"/>
          <w:numId w:val="10"/>
        </w:numPr>
      </w:pPr>
      <w:r>
        <w:rPr>
          <w:rFonts w:ascii="Calibri" w:hAnsi="Calibri"/>
          <w:b w:val="0"/>
          <w:color w:val="17202A"/>
          <w:sz w:val="22"/>
        </w:rPr>
        <w:t>Diseñar Cache Tags para producto, categoría, mercado y campaña.</w:t>
      </w:r>
    </w:p>
    <w:p>
      <w:pPr>
        <w:numPr>
          <w:ilvl w:val="0"/>
          <w:numId w:val="10"/>
        </w:numPr>
      </w:pPr>
      <w:r>
        <w:rPr>
          <w:rFonts w:ascii="Calibri" w:hAnsi="Calibri"/>
          <w:b w:val="0"/>
          <w:color w:val="17202A"/>
          <w:sz w:val="22"/>
        </w:rPr>
        <w:t>Evitar Purge Everything en operación normal.</w:t>
      </w:r>
    </w:p>
    <w:p>
      <w:pPr>
        <w:pStyle w:val="Heading1"/>
      </w:pPr>
      <w:r>
        <w:rPr>
          <w:rFonts w:ascii="Calibri" w:hAnsi="Calibri"/>
          <w:b/>
          <w:color w:val="2E74B5"/>
          <w:sz w:val="32"/>
        </w:rPr>
        <w:t>11. Diseño de seguridad</w:t>
      </w:r>
    </w:p>
    <w:p>
      <w:pPr>
        <w:pStyle w:val="Heading2"/>
      </w:pPr>
      <w:r>
        <w:rPr>
          <w:rFonts w:ascii="Calibri" w:hAnsi="Calibri"/>
          <w:b/>
          <w:color w:val="2E74B5"/>
          <w:sz w:val="26"/>
        </w:rPr>
        <w:t>11.1. Secuencia conservadora</w:t>
      </w:r>
    </w:p>
    <w:p>
      <w:pPr>
        <w:numPr>
          <w:ilvl w:val="0"/>
          <w:numId w:val="15"/>
        </w:numPr>
      </w:pPr>
      <w:r>
        <w:rPr>
          <w:rFonts w:ascii="Calibri" w:hAnsi="Calibri"/>
          <w:b w:val="0"/>
          <w:color w:val="17202A"/>
          <w:sz w:val="22"/>
        </w:rPr>
        <w:t>DDoS automático.</w:t>
      </w:r>
    </w:p>
    <w:p>
      <w:pPr>
        <w:numPr>
          <w:ilvl w:val="0"/>
          <w:numId w:val="15"/>
        </w:numPr>
      </w:pPr>
      <w:r>
        <w:rPr>
          <w:rFonts w:ascii="Calibri" w:hAnsi="Calibri"/>
          <w:b w:val="0"/>
          <w:color w:val="17202A"/>
          <w:sz w:val="22"/>
        </w:rPr>
        <w:t>Managed Rules con observación y ajuste.</w:t>
      </w:r>
    </w:p>
    <w:p>
      <w:pPr>
        <w:numPr>
          <w:ilvl w:val="0"/>
          <w:numId w:val="15"/>
        </w:numPr>
      </w:pPr>
      <w:r>
        <w:rPr>
          <w:rFonts w:ascii="Calibri" w:hAnsi="Calibri"/>
          <w:b w:val="0"/>
          <w:color w:val="17202A"/>
          <w:sz w:val="22"/>
        </w:rPr>
        <w:t>Custom Rules para bloqueos inequívocos.</w:t>
      </w:r>
    </w:p>
    <w:p>
      <w:pPr>
        <w:numPr>
          <w:ilvl w:val="0"/>
          <w:numId w:val="15"/>
        </w:numPr>
      </w:pPr>
      <w:r>
        <w:rPr>
          <w:rFonts w:ascii="Calibri" w:hAnsi="Calibri"/>
          <w:b w:val="0"/>
          <w:color w:val="17202A"/>
          <w:sz w:val="22"/>
        </w:rPr>
        <w:t>Rate limiting en endpoints prioritarios.</w:t>
      </w:r>
    </w:p>
    <w:p>
      <w:pPr>
        <w:numPr>
          <w:ilvl w:val="0"/>
          <w:numId w:val="15"/>
        </w:numPr>
      </w:pPr>
      <w:r>
        <w:rPr>
          <w:rFonts w:ascii="Calibri" w:hAnsi="Calibri"/>
          <w:b w:val="0"/>
          <w:color w:val="17202A"/>
          <w:sz w:val="22"/>
        </w:rPr>
        <w:t>Super Bot Fight Mode con excepciones verificadas.</w:t>
      </w:r>
    </w:p>
    <w:p>
      <w:pPr>
        <w:numPr>
          <w:ilvl w:val="0"/>
          <w:numId w:val="15"/>
        </w:numPr>
      </w:pPr>
      <w:r>
        <w:rPr>
          <w:rFonts w:ascii="Calibri" w:hAnsi="Calibri"/>
          <w:b w:val="0"/>
          <w:color w:val="17202A"/>
          <w:sz w:val="22"/>
        </w:rPr>
        <w:t>Hardening del origen al finalizar.</w:t>
      </w:r>
    </w:p>
    <w:p>
      <w:pPr>
        <w:pStyle w:val="Heading2"/>
      </w:pPr>
      <w:r>
        <w:rPr>
          <w:rFonts w:ascii="Calibri" w:hAnsi="Calibri"/>
          <w:b/>
          <w:color w:val="2E74B5"/>
          <w:sz w:val="26"/>
        </w:rPr>
        <w:t>11.2. Excepciones que deben inventariarse</w:t>
      </w:r>
    </w:p>
    <w:p>
      <w:pPr>
        <w:numPr>
          <w:ilvl w:val="0"/>
          <w:numId w:val="10"/>
        </w:numPr>
      </w:pPr>
      <w:r>
        <w:rPr>
          <w:rFonts w:ascii="Calibri" w:hAnsi="Calibri"/>
          <w:b w:val="0"/>
          <w:color w:val="17202A"/>
          <w:sz w:val="22"/>
        </w:rPr>
        <w:t>Proveedores de pago.</w:t>
      </w:r>
    </w:p>
    <w:p>
      <w:pPr>
        <w:numPr>
          <w:ilvl w:val="0"/>
          <w:numId w:val="10"/>
        </w:numPr>
      </w:pPr>
      <w:r>
        <w:rPr>
          <w:rFonts w:ascii="Calibri" w:hAnsi="Calibri"/>
          <w:b w:val="0"/>
          <w:color w:val="17202A"/>
          <w:sz w:val="22"/>
        </w:rPr>
        <w:t>Monitorización.</w:t>
      </w:r>
    </w:p>
    <w:p>
      <w:pPr>
        <w:numPr>
          <w:ilvl w:val="0"/>
          <w:numId w:val="10"/>
        </w:numPr>
      </w:pPr>
      <w:r>
        <w:rPr>
          <w:rFonts w:ascii="Calibri" w:hAnsi="Calibri"/>
          <w:b w:val="0"/>
          <w:color w:val="17202A"/>
          <w:sz w:val="22"/>
        </w:rPr>
        <w:t>Crawlers verificados.</w:t>
      </w:r>
    </w:p>
    <w:p>
      <w:pPr>
        <w:numPr>
          <w:ilvl w:val="0"/>
          <w:numId w:val="10"/>
        </w:numPr>
      </w:pPr>
      <w:r>
        <w:rPr>
          <w:rFonts w:ascii="Calibri" w:hAnsi="Calibri"/>
          <w:b w:val="0"/>
          <w:color w:val="17202A"/>
          <w:sz w:val="22"/>
        </w:rPr>
        <w:t>Integraciones de catálogo o stock.</w:t>
      </w:r>
    </w:p>
    <w:p>
      <w:pPr>
        <w:numPr>
          <w:ilvl w:val="0"/>
          <w:numId w:val="10"/>
        </w:numPr>
      </w:pPr>
      <w:r>
        <w:rPr>
          <w:rFonts w:ascii="Calibri" w:hAnsi="Calibri"/>
          <w:b w:val="0"/>
          <w:color w:val="17202A"/>
          <w:sz w:val="22"/>
        </w:rPr>
        <w:t>Webhooks.</w:t>
      </w:r>
    </w:p>
    <w:p>
      <w:pPr>
        <w:numPr>
          <w:ilvl w:val="0"/>
          <w:numId w:val="10"/>
        </w:numPr>
      </w:pPr>
      <w:r>
        <w:rPr>
          <w:rFonts w:ascii="Calibri" w:hAnsi="Calibri"/>
          <w:b w:val="0"/>
          <w:color w:val="17202A"/>
          <w:sz w:val="22"/>
        </w:rPr>
        <w:t>Administración WordPress desde redes autorizadas.</w:t>
      </w:r>
    </w:p>
    <w:p>
      <w:pPr>
        <w:numPr>
          <w:ilvl w:val="0"/>
          <w:numId w:val="10"/>
        </w:numPr>
      </w:pPr>
      <w:r>
        <w:rPr>
          <w:rFonts w:ascii="Calibri" w:hAnsi="Calibri"/>
          <w:b w:val="0"/>
          <w:color w:val="17202A"/>
          <w:sz w:val="22"/>
        </w:rPr>
        <w:t>Herramientas SAP y operaciones.</w:t>
      </w:r>
    </w:p>
    <w:p>
      <w:r>
        <w:rPr>
          <w:rFonts w:ascii="Calibri" w:hAnsi="Calibri"/>
          <w:b w:val="0"/>
          <w:color w:val="17202A"/>
          <w:sz w:val="22"/>
        </w:rPr>
        <w:t>Una excepción no debe basarse solo en user-agent si existe una señal más fuerte.</w:t>
      </w:r>
    </w:p>
    <w:p>
      <w:pPr>
        <w:pStyle w:val="Heading2"/>
      </w:pPr>
      <w:r>
        <w:rPr>
          <w:rFonts w:ascii="Calibri" w:hAnsi="Calibri"/>
          <w:b/>
          <w:color w:val="2E74B5"/>
          <w:sz w:val="26"/>
        </w:rPr>
        <w:t>11.3. Blog</w:t>
      </w:r>
    </w:p>
    <w:p>
      <w:r>
        <w:rPr>
          <w:rFonts w:ascii="Calibri" w:hAnsi="Calibri"/>
          <w:b w:val="0"/>
          <w:color w:val="17202A"/>
          <w:sz w:val="22"/>
        </w:rPr>
        <w:t>Comprobar:</w:t>
      </w:r>
    </w:p>
    <w:p>
      <w:pPr>
        <w:numPr>
          <w:ilvl w:val="0"/>
          <w:numId w:val="10"/>
        </w:numPr>
      </w:pPr>
      <w:r>
        <w:rPr>
          <w:rFonts w:ascii="Calibri" w:hAnsi="Calibri"/>
          <w:b w:val="0"/>
          <w:color w:val="17202A"/>
          <w:sz w:val="22"/>
        </w:rPr>
        <w:t>WAF Cloudflare + WAF Application Gateway sin falsos positivos duplicados.</w:t>
      </w:r>
    </w:p>
    <w:p>
      <w:pPr>
        <w:numPr>
          <w:ilvl w:val="0"/>
          <w:numId w:val="10"/>
        </w:numPr>
      </w:pPr>
      <w:r>
        <w:rPr>
          <w:rFonts w:ascii="Calibri" w:hAnsi="Calibri"/>
          <w:b w:val="0"/>
          <w:color w:val="17202A"/>
          <w:sz w:val="22"/>
        </w:rPr>
        <w:t>Tamaño de uploads de WordPress.</w:t>
      </w:r>
    </w:p>
    <w:p>
      <w:pPr>
        <w:numPr>
          <w:ilvl w:val="0"/>
          <w:numId w:val="10"/>
        </w:numPr>
      </w:pPr>
      <w:r>
        <w:rPr>
          <w:rFonts w:ascii="Courier New" w:hAnsi="Courier New"/>
          <w:color w:val="1F4D78"/>
          <w:sz w:val="21"/>
          <w:shd w:fill="EEF2F6"/>
        </w:rPr>
        <w:t>/wp-admin</w:t>
      </w:r>
      <w:r>
        <w:rPr>
          <w:rFonts w:ascii="Calibri" w:hAnsi="Calibri"/>
          <w:b w:val="0"/>
          <w:color w:val="17202A"/>
          <w:sz w:val="22"/>
        </w:rPr>
        <w:t>, login, cron y API REST.</w:t>
      </w:r>
    </w:p>
    <w:p>
      <w:pPr>
        <w:numPr>
          <w:ilvl w:val="0"/>
          <w:numId w:val="10"/>
        </w:numPr>
      </w:pPr>
      <w:r>
        <w:rPr>
          <w:rFonts w:ascii="Calibri" w:hAnsi="Calibri"/>
          <w:b w:val="0"/>
          <w:color w:val="17202A"/>
          <w:sz w:val="22"/>
        </w:rPr>
        <w:t>Cookies de administración fuera de caché.</w:t>
      </w:r>
    </w:p>
    <w:p>
      <w:pPr>
        <w:numPr>
          <w:ilvl w:val="0"/>
          <w:numId w:val="10"/>
        </w:numPr>
      </w:pPr>
      <w:r>
        <w:rPr>
          <w:rFonts w:ascii="Calibri" w:hAnsi="Calibri"/>
          <w:b w:val="0"/>
          <w:color w:val="17202A"/>
          <w:sz w:val="22"/>
        </w:rPr>
        <w:t xml:space="preserve">Assets y enlaces bajo </w:t>
      </w:r>
      <w:r>
        <w:rPr>
          <w:rFonts w:ascii="Courier New" w:hAnsi="Courier New"/>
          <w:color w:val="1F4D78"/>
          <w:sz w:val="21"/>
          <w:shd w:fill="EEF2F6"/>
        </w:rPr>
        <w:t>/pt/blog</w:t>
      </w:r>
      <w:r>
        <w:rPr>
          <w:rFonts w:ascii="Calibri" w:hAnsi="Calibri"/>
          <w:b w:val="0"/>
          <w:color w:val="17202A"/>
          <w:sz w:val="22"/>
        </w:rPr>
        <w:t>.</w:t>
      </w:r>
    </w:p>
    <w:p>
      <w:pPr>
        <w:numPr>
          <w:ilvl w:val="0"/>
          <w:numId w:val="10"/>
        </w:numPr>
      </w:pPr>
      <w:r>
        <w:rPr>
          <w:rFonts w:ascii="Calibri" w:hAnsi="Calibri"/>
          <w:b w:val="0"/>
          <w:color w:val="17202A"/>
          <w:sz w:val="22"/>
        </w:rPr>
        <w:t>Cabeceras de IP real.</w:t>
      </w:r>
    </w:p>
    <w:p>
      <w:pPr>
        <w:numPr>
          <w:ilvl w:val="0"/>
          <w:numId w:val="10"/>
        </w:numPr>
      </w:pPr>
      <w:r>
        <w:rPr>
          <w:rFonts w:ascii="Calibri" w:hAnsi="Calibri"/>
          <w:b w:val="0"/>
          <w:color w:val="17202A"/>
          <w:sz w:val="22"/>
        </w:rPr>
        <w:t>Regla que evita acceso directo sin crear loop.</w:t>
      </w:r>
    </w:p>
    <w:p>
      <w:pPr>
        <w:pStyle w:val="Heading1"/>
      </w:pPr>
      <w:r>
        <w:rPr>
          <w:rFonts w:ascii="Calibri" w:hAnsi="Calibri"/>
          <w:b/>
          <w:color w:val="2E74B5"/>
          <w:sz w:val="32"/>
        </w:rPr>
        <w:t>12. Entornos y pruebas</w:t>
      </w:r>
    </w:p>
    <w:p>
      <w:pPr>
        <w:pStyle w:val="Heading2"/>
      </w:pPr>
      <w:r>
        <w:rPr>
          <w:rFonts w:ascii="Calibri" w:hAnsi="Calibri"/>
          <w:b/>
          <w:color w:val="2E74B5"/>
          <w:sz w:val="26"/>
        </w:rPr>
        <w:t>12.1. Hostname de validación</w:t>
      </w:r>
    </w:p>
    <w:p>
      <w:r>
        <w:rPr>
          <w:rFonts w:ascii="Calibri" w:hAnsi="Calibri"/>
          <w:b w:val="0"/>
          <w:color w:val="17202A"/>
          <w:sz w:val="22"/>
        </w:rPr>
        <w:t>Crear un hostname de prueba que atraviese Cloudflare y llegue a los mismos orígenes, cuando SAP y certificados lo permitan. Si el origen solo acepta el hostname público, usar una estrategia acordada que no altere producción.</w:t>
      </w:r>
    </w:p>
    <w:p>
      <w:pPr>
        <w:pStyle w:val="Heading2"/>
      </w:pPr>
      <w:r>
        <w:rPr>
          <w:rFonts w:ascii="Calibri" w:hAnsi="Calibri"/>
          <w:b/>
          <w:color w:val="2E74B5"/>
          <w:sz w:val="26"/>
        </w:rPr>
        <w:t>12.2. Matriz funcional mínima</w:t>
      </w:r>
    </w:p>
    <w:tbl>
      <w:tblPr>
        <w:tblStyle w:val="TableGrid"/>
        <w:tblW w:type="dxa" w:w="9360"/>
        <w:jc w:val="left"/>
        <w:tblLayout w:type="fixed"/>
        <w:tblLook w:firstColumn="1" w:firstRow="1" w:lastColumn="0" w:lastRow="0" w:noHBand="0" w:noVBand="1" w:val="04A0"/>
        <w:tblInd w:w="120" w:type="dxa"/>
      </w:tblPr>
      <w:tblGrid>
        <w:gridCol w:w="2700"/>
        <w:gridCol w:w="6660"/>
      </w:tblGrid>
      <w:tr>
        <w:trPr>
          <w:tblHeader w:val="true"/>
        </w:trPr>
        <w:tc>
          <w:tcPr>
            <w:tcW w:type="dxa" w:w="2700"/>
            <w:tcMar>
              <w:top w:w="80" w:type="dxa"/>
              <w:start w:w="120" w:type="dxa"/>
              <w:bottom w:w="80" w:type="dxa"/>
              <w:end w:w="120" w:type="dxa"/>
            </w:tcMar>
            <w:vAlign w:val="center"/>
            <w:shd w:fill="E8EEF5"/>
          </w:tcPr>
          <w:p>
            <w:pPr>
              <w:spacing w:before="0" w:after="0" w:line="276" w:lineRule="auto"/>
            </w:pPr>
            <w:r>
              <w:rPr>
                <w:rFonts w:ascii="Calibri" w:hAnsi="Calibri"/>
                <w:b/>
                <w:color w:val="17202A"/>
                <w:sz w:val="19"/>
              </w:rPr>
              <w:t>Área</w:t>
            </w:r>
          </w:p>
        </w:tc>
        <w:tc>
          <w:tcPr>
            <w:tcW w:type="dxa" w:w="6660"/>
            <w:tcMar>
              <w:top w:w="80" w:type="dxa"/>
              <w:start w:w="120" w:type="dxa"/>
              <w:bottom w:w="80" w:type="dxa"/>
              <w:end w:w="120" w:type="dxa"/>
            </w:tcMar>
            <w:vAlign w:val="center"/>
            <w:shd w:fill="E8EEF5"/>
          </w:tcPr>
          <w:p>
            <w:pPr>
              <w:spacing w:before="0" w:after="0" w:line="276" w:lineRule="auto"/>
            </w:pPr>
            <w:r>
              <w:rPr>
                <w:rFonts w:ascii="Calibri" w:hAnsi="Calibri"/>
                <w:b/>
                <w:color w:val="17202A"/>
                <w:sz w:val="19"/>
              </w:rPr>
              <w:t>Pruebas</w:t>
            </w:r>
          </w:p>
        </w:tc>
      </w:tr>
      <w:tr>
        <w:tc>
          <w:tcPr>
            <w:tcW w:type="dxa" w:w="2700"/>
            <w:tcMar>
              <w:top w:w="80" w:type="dxa"/>
              <w:start w:w="120" w:type="dxa"/>
              <w:bottom w:w="80" w:type="dxa"/>
              <w:end w:w="120" w:type="dxa"/>
            </w:tcMar>
            <w:vAlign w:val="center"/>
          </w:tcPr>
          <w:p>
            <w:pPr>
              <w:spacing w:before="0" w:after="0" w:line="276" w:lineRule="auto"/>
            </w:pPr>
            <w:r>
              <w:rPr>
                <w:rFonts w:ascii="Calibri" w:hAnsi="Calibri"/>
                <w:b w:val="0"/>
                <w:color w:val="17202A"/>
                <w:sz w:val="19"/>
              </w:rPr>
              <w:t>Navegación</w:t>
            </w:r>
          </w:p>
        </w:tc>
        <w:tc>
          <w:tcPr>
            <w:tcW w:type="dxa" w:w="6660"/>
            <w:tcMar>
              <w:top w:w="80" w:type="dxa"/>
              <w:start w:w="120" w:type="dxa"/>
              <w:bottom w:w="80" w:type="dxa"/>
              <w:end w:w="120" w:type="dxa"/>
            </w:tcMar>
            <w:vAlign w:val="center"/>
          </w:tcPr>
          <w:p>
            <w:pPr>
              <w:spacing w:before="0" w:after="0" w:line="276" w:lineRule="auto"/>
            </w:pPr>
            <w:r>
              <w:rPr>
                <w:rFonts w:ascii="Calibri" w:hAnsi="Calibri"/>
                <w:b w:val="0"/>
                <w:color w:val="17202A"/>
                <w:sz w:val="19"/>
              </w:rPr>
              <w:t>Home, PLP, PDP, búsqueda, filtros, idiomas</w:t>
            </w:r>
          </w:p>
        </w:tc>
      </w:tr>
      <w:tr>
        <w:tc>
          <w:tcPr>
            <w:tcW w:type="dxa" w:w="2700"/>
            <w:tcMar>
              <w:top w:w="80" w:type="dxa"/>
              <w:start w:w="120" w:type="dxa"/>
              <w:bottom w:w="80" w:type="dxa"/>
              <w:end w:w="120" w:type="dxa"/>
            </w:tcMar>
            <w:vAlign w:val="center"/>
          </w:tcPr>
          <w:p>
            <w:pPr>
              <w:spacing w:before="0" w:after="0" w:line="276" w:lineRule="auto"/>
            </w:pPr>
            <w:r>
              <w:rPr>
                <w:rFonts w:ascii="Calibri" w:hAnsi="Calibri"/>
                <w:b w:val="0"/>
                <w:color w:val="17202A"/>
                <w:sz w:val="19"/>
              </w:rPr>
              <w:t>Cliente</w:t>
            </w:r>
          </w:p>
        </w:tc>
        <w:tc>
          <w:tcPr>
            <w:tcW w:type="dxa" w:w="6660"/>
            <w:tcMar>
              <w:top w:w="80" w:type="dxa"/>
              <w:start w:w="120" w:type="dxa"/>
              <w:bottom w:w="80" w:type="dxa"/>
              <w:end w:w="120" w:type="dxa"/>
            </w:tcMar>
            <w:vAlign w:val="center"/>
          </w:tcPr>
          <w:p>
            <w:pPr>
              <w:spacing w:before="0" w:after="0" w:line="276" w:lineRule="auto"/>
            </w:pPr>
            <w:r>
              <w:rPr>
                <w:rFonts w:ascii="Calibri" w:hAnsi="Calibri"/>
                <w:b w:val="0"/>
                <w:color w:val="17202A"/>
                <w:sz w:val="19"/>
              </w:rPr>
              <w:t>Registro, login, logout, recuperación, cuenta</w:t>
            </w:r>
          </w:p>
        </w:tc>
      </w:tr>
      <w:tr>
        <w:tc>
          <w:tcPr>
            <w:tcW w:type="dxa" w:w="2700"/>
            <w:tcMar>
              <w:top w:w="80" w:type="dxa"/>
              <w:start w:w="120" w:type="dxa"/>
              <w:bottom w:w="80" w:type="dxa"/>
              <w:end w:w="120" w:type="dxa"/>
            </w:tcMar>
            <w:vAlign w:val="center"/>
          </w:tcPr>
          <w:p>
            <w:pPr>
              <w:spacing w:before="0" w:after="0" w:line="276" w:lineRule="auto"/>
            </w:pPr>
            <w:r>
              <w:rPr>
                <w:rFonts w:ascii="Calibri" w:hAnsi="Calibri"/>
                <w:b w:val="0"/>
                <w:color w:val="17202A"/>
                <w:sz w:val="19"/>
              </w:rPr>
              <w:t>Compra</w:t>
            </w:r>
          </w:p>
        </w:tc>
        <w:tc>
          <w:tcPr>
            <w:tcW w:type="dxa" w:w="6660"/>
            <w:tcMar>
              <w:top w:w="80" w:type="dxa"/>
              <w:start w:w="120" w:type="dxa"/>
              <w:bottom w:w="80" w:type="dxa"/>
              <w:end w:w="120" w:type="dxa"/>
            </w:tcMar>
            <w:vAlign w:val="center"/>
          </w:tcPr>
          <w:p>
            <w:pPr>
              <w:spacing w:before="0" w:after="0" w:line="276" w:lineRule="auto"/>
            </w:pPr>
            <w:r>
              <w:rPr>
                <w:rFonts w:ascii="Calibri" w:hAnsi="Calibri"/>
                <w:b w:val="0"/>
                <w:color w:val="17202A"/>
                <w:sz w:val="19"/>
              </w:rPr>
              <w:t>Carrito, cupón, checkout, entrega, pago, confirmación</w:t>
            </w:r>
          </w:p>
        </w:tc>
      </w:tr>
      <w:tr>
        <w:tc>
          <w:tcPr>
            <w:tcW w:type="dxa" w:w="2700"/>
            <w:tcMar>
              <w:top w:w="80" w:type="dxa"/>
              <w:start w:w="120" w:type="dxa"/>
              <w:bottom w:w="80" w:type="dxa"/>
              <w:end w:w="120" w:type="dxa"/>
            </w:tcMar>
            <w:vAlign w:val="center"/>
          </w:tcPr>
          <w:p>
            <w:pPr>
              <w:spacing w:before="0" w:after="0" w:line="276" w:lineRule="auto"/>
            </w:pPr>
            <w:r>
              <w:rPr>
                <w:rFonts w:ascii="Calibri" w:hAnsi="Calibri"/>
                <w:b w:val="0"/>
                <w:color w:val="17202A"/>
                <w:sz w:val="19"/>
              </w:rPr>
              <w:t>Datos</w:t>
            </w:r>
          </w:p>
        </w:tc>
        <w:tc>
          <w:tcPr>
            <w:tcW w:type="dxa" w:w="6660"/>
            <w:tcMar>
              <w:top w:w="80" w:type="dxa"/>
              <w:start w:w="120" w:type="dxa"/>
              <w:bottom w:w="80" w:type="dxa"/>
              <w:end w:w="120" w:type="dxa"/>
            </w:tcMar>
            <w:vAlign w:val="center"/>
          </w:tcPr>
          <w:p>
            <w:pPr>
              <w:spacing w:before="0" w:after="0" w:line="276" w:lineRule="auto"/>
            </w:pPr>
            <w:r>
              <w:rPr>
                <w:rFonts w:ascii="Calibri" w:hAnsi="Calibri"/>
                <w:b w:val="0"/>
                <w:color w:val="17202A"/>
                <w:sz w:val="19"/>
              </w:rPr>
              <w:t>Precio, stock, promoción, tienda, moneda</w:t>
            </w:r>
          </w:p>
        </w:tc>
      </w:tr>
      <w:tr>
        <w:tc>
          <w:tcPr>
            <w:tcW w:type="dxa" w:w="2700"/>
            <w:tcMar>
              <w:top w:w="80" w:type="dxa"/>
              <w:start w:w="120" w:type="dxa"/>
              <w:bottom w:w="80" w:type="dxa"/>
              <w:end w:w="120" w:type="dxa"/>
            </w:tcMar>
            <w:vAlign w:val="center"/>
          </w:tcPr>
          <w:p>
            <w:pPr>
              <w:spacing w:before="0" w:after="0" w:line="276" w:lineRule="auto"/>
            </w:pPr>
            <w:r>
              <w:rPr>
                <w:rFonts w:ascii="Calibri" w:hAnsi="Calibri"/>
                <w:b w:val="0"/>
                <w:color w:val="17202A"/>
                <w:sz w:val="19"/>
              </w:rPr>
              <w:t>API</w:t>
            </w:r>
          </w:p>
        </w:tc>
        <w:tc>
          <w:tcPr>
            <w:tcW w:type="dxa" w:w="6660"/>
            <w:tcMar>
              <w:top w:w="80" w:type="dxa"/>
              <w:start w:w="120" w:type="dxa"/>
              <w:bottom w:w="80" w:type="dxa"/>
              <w:end w:w="120" w:type="dxa"/>
            </w:tcMar>
            <w:vAlign w:val="center"/>
          </w:tcPr>
          <w:p>
            <w:pPr>
              <w:spacing w:before="0" w:after="0" w:line="276" w:lineRule="auto"/>
            </w:pPr>
            <w:r>
              <w:rPr>
                <w:rFonts w:ascii="Calibri" w:hAnsi="Calibri"/>
                <w:b w:val="0"/>
                <w:color w:val="17202A"/>
                <w:sz w:val="19"/>
              </w:rPr>
              <w:t>Preflight, GET públicos, auth, errores, métodos de escritura</w:t>
            </w:r>
          </w:p>
        </w:tc>
      </w:tr>
      <w:tr>
        <w:tc>
          <w:tcPr>
            <w:tcW w:type="dxa" w:w="2700"/>
            <w:tcMar>
              <w:top w:w="80" w:type="dxa"/>
              <w:start w:w="120" w:type="dxa"/>
              <w:bottom w:w="80" w:type="dxa"/>
              <w:end w:w="120" w:type="dxa"/>
            </w:tcMar>
            <w:vAlign w:val="center"/>
          </w:tcPr>
          <w:p>
            <w:pPr>
              <w:spacing w:before="0" w:after="0" w:line="276" w:lineRule="auto"/>
            </w:pPr>
            <w:r>
              <w:rPr>
                <w:rFonts w:ascii="Calibri" w:hAnsi="Calibri"/>
                <w:b w:val="0"/>
                <w:color w:val="17202A"/>
                <w:sz w:val="19"/>
              </w:rPr>
              <w:t>Blog</w:t>
            </w:r>
          </w:p>
        </w:tc>
        <w:tc>
          <w:tcPr>
            <w:tcW w:type="dxa" w:w="6660"/>
            <w:tcMar>
              <w:top w:w="80" w:type="dxa"/>
              <w:start w:w="120" w:type="dxa"/>
              <w:bottom w:w="80" w:type="dxa"/>
              <w:end w:w="120" w:type="dxa"/>
            </w:tcMar>
            <w:vAlign w:val="center"/>
          </w:tcPr>
          <w:p>
            <w:pPr>
              <w:spacing w:before="0" w:after="0" w:line="276" w:lineRule="auto"/>
            </w:pPr>
            <w:r>
              <w:rPr>
                <w:rFonts w:ascii="Calibri" w:hAnsi="Calibri"/>
                <w:b w:val="0"/>
                <w:color w:val="17202A"/>
                <w:sz w:val="19"/>
              </w:rPr>
              <w:t>Listado, artículo, assets, redirect antiguo, wp-admin</w:t>
            </w:r>
          </w:p>
        </w:tc>
      </w:tr>
      <w:tr>
        <w:tc>
          <w:tcPr>
            <w:tcW w:type="dxa" w:w="2700"/>
            <w:tcMar>
              <w:top w:w="80" w:type="dxa"/>
              <w:start w:w="120" w:type="dxa"/>
              <w:bottom w:w="80" w:type="dxa"/>
              <w:end w:w="120" w:type="dxa"/>
            </w:tcMar>
            <w:vAlign w:val="center"/>
          </w:tcPr>
          <w:p>
            <w:pPr>
              <w:spacing w:before="0" w:after="0" w:line="276" w:lineRule="auto"/>
            </w:pPr>
            <w:r>
              <w:rPr>
                <w:rFonts w:ascii="Calibri" w:hAnsi="Calibri"/>
                <w:b w:val="0"/>
                <w:color w:val="17202A"/>
                <w:sz w:val="19"/>
              </w:rPr>
              <w:t>SEO</w:t>
            </w:r>
          </w:p>
        </w:tc>
        <w:tc>
          <w:tcPr>
            <w:tcW w:type="dxa" w:w="6660"/>
            <w:tcMar>
              <w:top w:w="80" w:type="dxa"/>
              <w:start w:w="120" w:type="dxa"/>
              <w:bottom w:w="80" w:type="dxa"/>
              <w:end w:w="120" w:type="dxa"/>
            </w:tcMar>
            <w:vAlign w:val="center"/>
          </w:tcPr>
          <w:p>
            <w:pPr>
              <w:spacing w:before="0" w:after="0" w:line="276" w:lineRule="auto"/>
            </w:pPr>
            <w:r>
              <w:rPr>
                <w:rFonts w:ascii="Calibri" w:hAnsi="Calibri"/>
                <w:b w:val="0"/>
                <w:color w:val="17202A"/>
                <w:sz w:val="19"/>
              </w:rPr>
              <w:t>robots, sitemaps, canonicals, 301, 404, bots verificados</w:t>
            </w:r>
          </w:p>
        </w:tc>
      </w:tr>
      <w:tr>
        <w:tc>
          <w:tcPr>
            <w:tcW w:type="dxa" w:w="2700"/>
            <w:tcMar>
              <w:top w:w="80" w:type="dxa"/>
              <w:start w:w="120" w:type="dxa"/>
              <w:bottom w:w="80" w:type="dxa"/>
              <w:end w:w="120" w:type="dxa"/>
            </w:tcMar>
            <w:vAlign w:val="center"/>
          </w:tcPr>
          <w:p>
            <w:pPr>
              <w:spacing w:before="0" w:after="0" w:line="276" w:lineRule="auto"/>
            </w:pPr>
            <w:r>
              <w:rPr>
                <w:rFonts w:ascii="Calibri" w:hAnsi="Calibri"/>
                <w:b w:val="0"/>
                <w:color w:val="17202A"/>
                <w:sz w:val="19"/>
              </w:rPr>
              <w:t>Seguridad</w:t>
            </w:r>
          </w:p>
        </w:tc>
        <w:tc>
          <w:tcPr>
            <w:tcW w:type="dxa" w:w="6660"/>
            <w:tcMar>
              <w:top w:w="80" w:type="dxa"/>
              <w:start w:w="120" w:type="dxa"/>
              <w:bottom w:w="80" w:type="dxa"/>
              <w:end w:w="120" w:type="dxa"/>
            </w:tcMar>
            <w:vAlign w:val="center"/>
          </w:tcPr>
          <w:p>
            <w:pPr>
              <w:spacing w:before="0" w:after="0" w:line="276" w:lineRule="auto"/>
            </w:pPr>
            <w:r>
              <w:rPr>
                <w:rFonts w:ascii="Calibri" w:hAnsi="Calibri"/>
                <w:b w:val="0"/>
                <w:color w:val="17202A"/>
                <w:sz w:val="19"/>
              </w:rPr>
              <w:t>WAF, rate limit, excepciones, IP real</w:t>
            </w:r>
          </w:p>
        </w:tc>
      </w:tr>
      <w:tr>
        <w:tc>
          <w:tcPr>
            <w:tcW w:type="dxa" w:w="2700"/>
            <w:tcMar>
              <w:top w:w="80" w:type="dxa"/>
              <w:start w:w="120" w:type="dxa"/>
              <w:bottom w:w="80" w:type="dxa"/>
              <w:end w:w="120" w:type="dxa"/>
            </w:tcMar>
            <w:vAlign w:val="center"/>
          </w:tcPr>
          <w:p>
            <w:pPr>
              <w:spacing w:before="0" w:after="0" w:line="276" w:lineRule="auto"/>
            </w:pPr>
            <w:r>
              <w:rPr>
                <w:rFonts w:ascii="Calibri" w:hAnsi="Calibri"/>
                <w:b w:val="0"/>
                <w:color w:val="17202A"/>
                <w:sz w:val="19"/>
              </w:rPr>
              <w:t>Caché</w:t>
            </w:r>
          </w:p>
        </w:tc>
        <w:tc>
          <w:tcPr>
            <w:tcW w:type="dxa" w:w="6660"/>
            <w:tcMar>
              <w:top w:w="80" w:type="dxa"/>
              <w:start w:w="120" w:type="dxa"/>
              <w:bottom w:w="80" w:type="dxa"/>
              <w:end w:w="120" w:type="dxa"/>
            </w:tcMar>
            <w:vAlign w:val="center"/>
          </w:tcPr>
          <w:p>
            <w:pPr>
              <w:spacing w:before="0" w:after="0" w:line="276" w:lineRule="auto"/>
            </w:pPr>
            <w:r>
              <w:rPr>
                <w:rFonts w:ascii="Calibri" w:hAnsi="Calibri"/>
                <w:b w:val="0"/>
                <w:color w:val="17202A"/>
                <w:sz w:val="19"/>
              </w:rPr>
              <w:t>HIT/MISS/BYPASS, TTL, query, cookies, purga</w:t>
            </w:r>
          </w:p>
        </w:tc>
      </w:tr>
      <w:tr>
        <w:tc>
          <w:tcPr>
            <w:tcW w:type="dxa" w:w="2700"/>
            <w:tcMar>
              <w:top w:w="80" w:type="dxa"/>
              <w:start w:w="120" w:type="dxa"/>
              <w:bottom w:w="80" w:type="dxa"/>
              <w:end w:w="120" w:type="dxa"/>
            </w:tcMar>
            <w:vAlign w:val="center"/>
          </w:tcPr>
          <w:p>
            <w:pPr>
              <w:spacing w:before="0" w:after="0" w:line="276" w:lineRule="auto"/>
            </w:pPr>
            <w:r>
              <w:rPr>
                <w:rFonts w:ascii="Calibri" w:hAnsi="Calibri"/>
                <w:b w:val="0"/>
                <w:color w:val="17202A"/>
                <w:sz w:val="19"/>
              </w:rPr>
              <w:t>Resiliencia</w:t>
            </w:r>
          </w:p>
        </w:tc>
        <w:tc>
          <w:tcPr>
            <w:tcW w:type="dxa" w:w="6660"/>
            <w:tcMar>
              <w:top w:w="80" w:type="dxa"/>
              <w:start w:w="120" w:type="dxa"/>
              <w:bottom w:w="80" w:type="dxa"/>
              <w:end w:w="120" w:type="dxa"/>
            </w:tcMar>
            <w:vAlign w:val="center"/>
          </w:tcPr>
          <w:p>
            <w:pPr>
              <w:spacing w:before="0" w:after="0" w:line="276" w:lineRule="auto"/>
            </w:pPr>
            <w:r>
              <w:rPr>
                <w:rFonts w:ascii="Calibri" w:hAnsi="Calibri"/>
                <w:b w:val="0"/>
                <w:color w:val="17202A"/>
                <w:sz w:val="19"/>
              </w:rPr>
              <w:t>Origen lento/caído, health check, stale-if-error si aplica</w:t>
            </w:r>
          </w:p>
        </w:tc>
      </w:tr>
    </w:tbl>
    <w:p>
      <w:pPr>
        <w:spacing w:before="0" w:after="40"/>
      </w:pPr>
    </w:p>
    <w:p>
      <w:pPr>
        <w:pStyle w:val="Heading2"/>
      </w:pPr>
      <w:r>
        <w:rPr>
          <w:rFonts w:ascii="Calibri" w:hAnsi="Calibri"/>
          <w:b/>
          <w:color w:val="2E74B5"/>
          <w:sz w:val="26"/>
        </w:rPr>
        <w:t>12.3. Pruebas de no regresión de caché</w:t>
      </w:r>
    </w:p>
    <w:p>
      <w:r>
        <w:rPr>
          <w:rFonts w:ascii="Calibri" w:hAnsi="Calibri"/>
          <w:b w:val="0"/>
          <w:color w:val="17202A"/>
          <w:sz w:val="22"/>
        </w:rPr>
        <w:t>Ejecutar la misma URL:</w:t>
      </w:r>
    </w:p>
    <w:p>
      <w:pPr>
        <w:numPr>
          <w:ilvl w:val="0"/>
          <w:numId w:val="10"/>
        </w:numPr>
      </w:pPr>
      <w:r>
        <w:rPr>
          <w:rFonts w:ascii="Calibri" w:hAnsi="Calibri"/>
          <w:b w:val="0"/>
          <w:color w:val="17202A"/>
          <w:sz w:val="22"/>
        </w:rPr>
        <w:t>Sin cookies.</w:t>
      </w:r>
    </w:p>
    <w:p>
      <w:pPr>
        <w:numPr>
          <w:ilvl w:val="0"/>
          <w:numId w:val="10"/>
        </w:numPr>
      </w:pPr>
      <w:r>
        <w:rPr>
          <w:rFonts w:ascii="Calibri" w:hAnsi="Calibri"/>
          <w:b w:val="0"/>
          <w:color w:val="17202A"/>
          <w:sz w:val="22"/>
        </w:rPr>
        <w:t>Con cookies de consentimiento.</w:t>
      </w:r>
    </w:p>
    <w:p>
      <w:pPr>
        <w:numPr>
          <w:ilvl w:val="0"/>
          <w:numId w:val="10"/>
        </w:numPr>
      </w:pPr>
      <w:r>
        <w:rPr>
          <w:rFonts w:ascii="Calibri" w:hAnsi="Calibri"/>
          <w:b w:val="0"/>
          <w:color w:val="17202A"/>
          <w:sz w:val="22"/>
        </w:rPr>
        <w:t>Con sesión anónima.</w:t>
      </w:r>
    </w:p>
    <w:p>
      <w:pPr>
        <w:numPr>
          <w:ilvl w:val="0"/>
          <w:numId w:val="10"/>
        </w:numPr>
      </w:pPr>
      <w:r>
        <w:rPr>
          <w:rFonts w:ascii="Calibri" w:hAnsi="Calibri"/>
          <w:b w:val="0"/>
          <w:color w:val="17202A"/>
          <w:sz w:val="22"/>
        </w:rPr>
        <w:t>Autenticado.</w:t>
      </w:r>
    </w:p>
    <w:p>
      <w:pPr>
        <w:numPr>
          <w:ilvl w:val="0"/>
          <w:numId w:val="10"/>
        </w:numPr>
      </w:pPr>
      <w:r>
        <w:rPr>
          <w:rFonts w:ascii="Calibri" w:hAnsi="Calibri"/>
          <w:b w:val="0"/>
          <w:color w:val="17202A"/>
          <w:sz w:val="22"/>
        </w:rPr>
        <w:t>Desde dos usuarios.</w:t>
      </w:r>
    </w:p>
    <w:p>
      <w:pPr>
        <w:numPr>
          <w:ilvl w:val="0"/>
          <w:numId w:val="10"/>
        </w:numPr>
      </w:pPr>
      <w:r>
        <w:rPr>
          <w:rFonts w:ascii="Calibri" w:hAnsi="Calibri"/>
          <w:b w:val="0"/>
          <w:color w:val="17202A"/>
          <w:sz w:val="22"/>
        </w:rPr>
        <w:t>Con distintas query strings.</w:t>
      </w:r>
    </w:p>
    <w:p>
      <w:pPr>
        <w:numPr>
          <w:ilvl w:val="0"/>
          <w:numId w:val="10"/>
        </w:numPr>
      </w:pPr>
      <w:r>
        <w:rPr>
          <w:rFonts w:ascii="Calibri" w:hAnsi="Calibri"/>
          <w:b w:val="0"/>
          <w:color w:val="17202A"/>
          <w:sz w:val="22"/>
        </w:rPr>
        <w:t>Después de una actualización y purga.</w:t>
      </w:r>
    </w:p>
    <w:p>
      <w:r>
        <w:rPr>
          <w:rFonts w:ascii="Calibri" w:hAnsi="Calibri"/>
          <w:b w:val="0"/>
          <w:color w:val="17202A"/>
          <w:sz w:val="22"/>
        </w:rPr>
        <w:t>Comparar cuerpo, cabeceras y estado de caché.</w:t>
      </w:r>
    </w:p>
    <w:p>
      <w:pPr>
        <w:pStyle w:val="Heading1"/>
      </w:pPr>
      <w:r>
        <w:rPr>
          <w:rFonts w:ascii="Calibri" w:hAnsi="Calibri"/>
          <w:b/>
          <w:color w:val="2E74B5"/>
          <w:sz w:val="32"/>
        </w:rPr>
        <w:t>13. Línea base y criterios de éxito</w:t>
      </w:r>
    </w:p>
    <w:p>
      <w:pPr>
        <w:pStyle w:val="Heading2"/>
      </w:pPr>
      <w:r>
        <w:rPr>
          <w:rFonts w:ascii="Calibri" w:hAnsi="Calibri"/>
          <w:b/>
          <w:color w:val="2E74B5"/>
          <w:sz w:val="26"/>
        </w:rPr>
        <w:t>13.1. Antes del cambio</w:t>
      </w:r>
    </w:p>
    <w:p>
      <w:pPr>
        <w:numPr>
          <w:ilvl w:val="0"/>
          <w:numId w:val="10"/>
        </w:numPr>
      </w:pPr>
      <w:r>
        <w:rPr>
          <w:rFonts w:ascii="Calibri" w:hAnsi="Calibri"/>
          <w:b w:val="0"/>
          <w:color w:val="17202A"/>
          <w:sz w:val="22"/>
        </w:rPr>
        <w:t>Requests por ruta y código.</w:t>
      </w:r>
    </w:p>
    <w:p>
      <w:pPr>
        <w:numPr>
          <w:ilvl w:val="0"/>
          <w:numId w:val="10"/>
        </w:numPr>
      </w:pPr>
      <w:r>
        <w:rPr>
          <w:rFonts w:ascii="Calibri" w:hAnsi="Calibri"/>
          <w:b w:val="0"/>
          <w:color w:val="17202A"/>
          <w:sz w:val="22"/>
        </w:rPr>
        <w:t>TTFB p50/p95/p99.</w:t>
      </w:r>
    </w:p>
    <w:p>
      <w:pPr>
        <w:numPr>
          <w:ilvl w:val="0"/>
          <w:numId w:val="10"/>
        </w:numPr>
      </w:pPr>
      <w:r>
        <w:rPr>
          <w:rFonts w:ascii="Calibri" w:hAnsi="Calibri"/>
          <w:b w:val="0"/>
          <w:color w:val="17202A"/>
          <w:sz w:val="22"/>
        </w:rPr>
        <w:t>Cache hit ratio de AFD.</w:t>
      </w:r>
    </w:p>
    <w:p>
      <w:pPr>
        <w:numPr>
          <w:ilvl w:val="0"/>
          <w:numId w:val="10"/>
        </w:numPr>
      </w:pPr>
      <w:r>
        <w:rPr>
          <w:rFonts w:ascii="Calibri" w:hAnsi="Calibri"/>
          <w:b w:val="0"/>
          <w:color w:val="17202A"/>
          <w:sz w:val="22"/>
        </w:rPr>
        <w:t>Requests a SAP y al blog.</w:t>
      </w:r>
    </w:p>
    <w:p>
      <w:pPr>
        <w:numPr>
          <w:ilvl w:val="0"/>
          <w:numId w:val="10"/>
        </w:numPr>
      </w:pPr>
      <w:r>
        <w:rPr>
          <w:rFonts w:ascii="Calibri" w:hAnsi="Calibri"/>
          <w:b w:val="0"/>
          <w:color w:val="17202A"/>
          <w:sz w:val="22"/>
        </w:rPr>
        <w:t>Errores de origen.</w:t>
      </w:r>
    </w:p>
    <w:p>
      <w:pPr>
        <w:numPr>
          <w:ilvl w:val="0"/>
          <w:numId w:val="10"/>
        </w:numPr>
      </w:pPr>
      <w:r>
        <w:rPr>
          <w:rFonts w:ascii="Calibri" w:hAnsi="Calibri"/>
          <w:b w:val="0"/>
          <w:color w:val="17202A"/>
          <w:sz w:val="22"/>
        </w:rPr>
        <w:t>Core Web Vitals.</w:t>
      </w:r>
    </w:p>
    <w:p>
      <w:pPr>
        <w:numPr>
          <w:ilvl w:val="0"/>
          <w:numId w:val="10"/>
        </w:numPr>
      </w:pPr>
      <w:r>
        <w:rPr>
          <w:rFonts w:ascii="Calibri" w:hAnsi="Calibri"/>
          <w:b w:val="0"/>
          <w:color w:val="17202A"/>
          <w:sz w:val="22"/>
        </w:rPr>
        <w:t>Conversión y fallos de checkout.</w:t>
      </w:r>
    </w:p>
    <w:p>
      <w:pPr>
        <w:numPr>
          <w:ilvl w:val="0"/>
          <w:numId w:val="10"/>
        </w:numPr>
      </w:pPr>
      <w:r>
        <w:rPr>
          <w:rFonts w:ascii="Calibri" w:hAnsi="Calibri"/>
          <w:b w:val="0"/>
          <w:color w:val="17202A"/>
          <w:sz w:val="22"/>
        </w:rPr>
        <w:t>Crawl stats SEO.</w:t>
      </w:r>
    </w:p>
    <w:p>
      <w:pPr>
        <w:pStyle w:val="Heading2"/>
      </w:pPr>
      <w:r>
        <w:rPr>
          <w:rFonts w:ascii="Calibri" w:hAnsi="Calibri"/>
          <w:b/>
          <w:color w:val="2E74B5"/>
          <w:sz w:val="26"/>
        </w:rPr>
        <w:t>13.2. Después del cambio</w:t>
      </w:r>
    </w:p>
    <w:p>
      <w:r>
        <w:rPr>
          <w:rFonts w:ascii="Calibri" w:hAnsi="Calibri"/>
          <w:b w:val="0"/>
          <w:color w:val="17202A"/>
          <w:sz w:val="22"/>
        </w:rPr>
        <w:t>El éxito requiere:</w:t>
      </w:r>
    </w:p>
    <w:p>
      <w:pPr>
        <w:numPr>
          <w:ilvl w:val="0"/>
          <w:numId w:val="10"/>
        </w:numPr>
      </w:pPr>
      <w:r>
        <w:rPr>
          <w:rFonts w:ascii="Calibri" w:hAnsi="Calibri"/>
          <w:b w:val="0"/>
          <w:color w:val="17202A"/>
          <w:sz w:val="22"/>
        </w:rPr>
        <w:t>Sin regresiones funcionales.</w:t>
      </w:r>
    </w:p>
    <w:p>
      <w:pPr>
        <w:numPr>
          <w:ilvl w:val="0"/>
          <w:numId w:val="10"/>
        </w:numPr>
      </w:pPr>
      <w:r>
        <w:rPr>
          <w:rFonts w:ascii="Calibri" w:hAnsi="Calibri"/>
          <w:b w:val="0"/>
          <w:color w:val="17202A"/>
          <w:sz w:val="22"/>
        </w:rPr>
        <w:t>Menor o igual tasa de errores.</w:t>
      </w:r>
    </w:p>
    <w:p>
      <w:pPr>
        <w:numPr>
          <w:ilvl w:val="0"/>
          <w:numId w:val="10"/>
        </w:numPr>
      </w:pPr>
      <w:r>
        <w:rPr>
          <w:rFonts w:ascii="Calibri" w:hAnsi="Calibri"/>
          <w:b w:val="0"/>
          <w:color w:val="17202A"/>
          <w:sz w:val="22"/>
        </w:rPr>
        <w:t>TTFB mejorado en contenido objetivo.</w:t>
      </w:r>
    </w:p>
    <w:p>
      <w:pPr>
        <w:numPr>
          <w:ilvl w:val="0"/>
          <w:numId w:val="10"/>
        </w:numPr>
      </w:pPr>
      <w:r>
        <w:rPr>
          <w:rFonts w:ascii="Calibri" w:hAnsi="Calibri"/>
          <w:b w:val="0"/>
          <w:color w:val="17202A"/>
          <w:sz w:val="22"/>
        </w:rPr>
        <w:t>Menos peticiones al origen.</w:t>
      </w:r>
    </w:p>
    <w:p>
      <w:pPr>
        <w:numPr>
          <w:ilvl w:val="0"/>
          <w:numId w:val="10"/>
        </w:numPr>
      </w:pPr>
      <w:r>
        <w:rPr>
          <w:rFonts w:ascii="Calibri" w:hAnsi="Calibri"/>
          <w:b w:val="0"/>
          <w:color w:val="17202A"/>
          <w:sz w:val="22"/>
        </w:rPr>
        <w:t>Precio, stock y promociones dentro de tolerancia.</w:t>
      </w:r>
    </w:p>
    <w:p>
      <w:pPr>
        <w:numPr>
          <w:ilvl w:val="0"/>
          <w:numId w:val="10"/>
        </w:numPr>
      </w:pPr>
      <w:r>
        <w:rPr>
          <w:rFonts w:ascii="Calibri" w:hAnsi="Calibri"/>
          <w:b w:val="0"/>
          <w:color w:val="17202A"/>
          <w:sz w:val="22"/>
        </w:rPr>
        <w:t>Rastreo SEO sin bloqueos.</w:t>
      </w:r>
    </w:p>
    <w:p>
      <w:pPr>
        <w:numPr>
          <w:ilvl w:val="0"/>
          <w:numId w:val="10"/>
        </w:numPr>
      </w:pPr>
      <w:r>
        <w:rPr>
          <w:rFonts w:ascii="Calibri" w:hAnsi="Calibri"/>
          <w:b w:val="0"/>
          <w:color w:val="17202A"/>
          <w:sz w:val="22"/>
        </w:rPr>
        <w:t>Operación y purgas repetibles.</w:t>
      </w:r>
    </w:p>
    <w:p>
      <w:pPr>
        <w:pStyle w:val="Heading1"/>
      </w:pPr>
      <w:r>
        <w:rPr>
          <w:rFonts w:ascii="Calibri" w:hAnsi="Calibri"/>
          <w:b/>
          <w:color w:val="2E74B5"/>
          <w:sz w:val="32"/>
        </w:rPr>
        <w:t>14. Plan de cutover</w:t>
      </w:r>
    </w:p>
    <w:p>
      <w:pPr>
        <w:pStyle w:val="Heading2"/>
      </w:pPr>
      <w:r>
        <w:rPr>
          <w:rFonts w:ascii="Calibri" w:hAnsi="Calibri"/>
          <w:b/>
          <w:color w:val="2E74B5"/>
          <w:sz w:val="26"/>
        </w:rPr>
        <w:t>T-7 días o antes</w:t>
      </w:r>
    </w:p>
    <w:p>
      <w:pPr>
        <w:numPr>
          <w:ilvl w:val="0"/>
          <w:numId w:val="10"/>
        </w:numPr>
      </w:pPr>
      <w:r>
        <w:rPr>
          <w:rFonts w:ascii="Calibri" w:hAnsi="Calibri"/>
          <w:b w:val="0"/>
          <w:color w:val="17202A"/>
          <w:sz w:val="22"/>
        </w:rPr>
        <w:t>Congelar inventario.</w:t>
      </w:r>
    </w:p>
    <w:p>
      <w:pPr>
        <w:numPr>
          <w:ilvl w:val="0"/>
          <w:numId w:val="10"/>
        </w:numPr>
      </w:pPr>
      <w:r>
        <w:rPr>
          <w:rFonts w:ascii="Calibri" w:hAnsi="Calibri"/>
          <w:b w:val="0"/>
          <w:color w:val="17202A"/>
          <w:sz w:val="22"/>
        </w:rPr>
        <w:t>Reducir TTL.</w:t>
      </w:r>
    </w:p>
    <w:p>
      <w:pPr>
        <w:numPr>
          <w:ilvl w:val="0"/>
          <w:numId w:val="10"/>
        </w:numPr>
      </w:pPr>
      <w:r>
        <w:rPr>
          <w:rFonts w:ascii="Calibri" w:hAnsi="Calibri"/>
          <w:b w:val="0"/>
          <w:color w:val="17202A"/>
          <w:sz w:val="22"/>
        </w:rPr>
        <w:t>Completar pruebas.</w:t>
      </w:r>
    </w:p>
    <w:p>
      <w:pPr>
        <w:numPr>
          <w:ilvl w:val="0"/>
          <w:numId w:val="10"/>
        </w:numPr>
      </w:pPr>
      <w:r>
        <w:rPr>
          <w:rFonts w:ascii="Calibri" w:hAnsi="Calibri"/>
          <w:b w:val="0"/>
          <w:color w:val="17202A"/>
          <w:sz w:val="22"/>
        </w:rPr>
        <w:t>Confirmar certificados.</w:t>
      </w:r>
    </w:p>
    <w:p>
      <w:pPr>
        <w:numPr>
          <w:ilvl w:val="0"/>
          <w:numId w:val="10"/>
        </w:numPr>
      </w:pPr>
      <w:r>
        <w:rPr>
          <w:rFonts w:ascii="Calibri" w:hAnsi="Calibri"/>
          <w:b w:val="0"/>
          <w:color w:val="17202A"/>
          <w:sz w:val="22"/>
        </w:rPr>
        <w:t>Confirmar soporte y contactos.</w:t>
      </w:r>
    </w:p>
    <w:p>
      <w:pPr>
        <w:numPr>
          <w:ilvl w:val="0"/>
          <w:numId w:val="10"/>
        </w:numPr>
      </w:pPr>
      <w:r>
        <w:rPr>
          <w:rFonts w:ascii="Calibri" w:hAnsi="Calibri"/>
          <w:b w:val="0"/>
          <w:color w:val="17202A"/>
          <w:sz w:val="22"/>
        </w:rPr>
        <w:t>Aprobar go/no-go y rollback.</w:t>
      </w:r>
    </w:p>
    <w:p>
      <w:pPr>
        <w:pStyle w:val="Heading2"/>
      </w:pPr>
      <w:r>
        <w:rPr>
          <w:rFonts w:ascii="Calibri" w:hAnsi="Calibri"/>
          <w:b/>
          <w:color w:val="2E74B5"/>
          <w:sz w:val="26"/>
        </w:rPr>
        <w:t>T-1 día</w:t>
      </w:r>
    </w:p>
    <w:p>
      <w:pPr>
        <w:numPr>
          <w:ilvl w:val="0"/>
          <w:numId w:val="10"/>
        </w:numPr>
      </w:pPr>
      <w:r>
        <w:rPr>
          <w:rFonts w:ascii="Calibri" w:hAnsi="Calibri"/>
          <w:b w:val="0"/>
          <w:color w:val="17202A"/>
          <w:sz w:val="22"/>
        </w:rPr>
        <w:t>Verificar AFD operativo.</w:t>
      </w:r>
    </w:p>
    <w:p>
      <w:pPr>
        <w:numPr>
          <w:ilvl w:val="0"/>
          <w:numId w:val="10"/>
        </w:numPr>
      </w:pPr>
      <w:r>
        <w:rPr>
          <w:rFonts w:ascii="Calibri" w:hAnsi="Calibri"/>
          <w:b w:val="0"/>
          <w:color w:val="17202A"/>
          <w:sz w:val="22"/>
        </w:rPr>
        <w:t>Exportar configuración final.</w:t>
      </w:r>
    </w:p>
    <w:p>
      <w:pPr>
        <w:numPr>
          <w:ilvl w:val="0"/>
          <w:numId w:val="10"/>
        </w:numPr>
      </w:pPr>
      <w:r>
        <w:rPr>
          <w:rFonts w:ascii="Calibri" w:hAnsi="Calibri"/>
          <w:b w:val="0"/>
          <w:color w:val="17202A"/>
          <w:sz w:val="22"/>
        </w:rPr>
        <w:t>Revisar cambios de última hora SAP.</w:t>
      </w:r>
    </w:p>
    <w:p>
      <w:pPr>
        <w:numPr>
          <w:ilvl w:val="0"/>
          <w:numId w:val="10"/>
        </w:numPr>
      </w:pPr>
      <w:r>
        <w:rPr>
          <w:rFonts w:ascii="Calibri" w:hAnsi="Calibri"/>
          <w:b w:val="0"/>
          <w:color w:val="17202A"/>
          <w:sz w:val="22"/>
        </w:rPr>
        <w:t>Precalentar solo si existe un método seguro y aprobado.</w:t>
      </w:r>
    </w:p>
    <w:p>
      <w:pPr>
        <w:numPr>
          <w:ilvl w:val="0"/>
          <w:numId w:val="10"/>
        </w:numPr>
      </w:pPr>
      <w:r>
        <w:rPr>
          <w:rFonts w:ascii="Calibri" w:hAnsi="Calibri"/>
          <w:b w:val="0"/>
          <w:color w:val="17202A"/>
          <w:sz w:val="22"/>
        </w:rPr>
        <w:t>Confirmar dashboards y alertas.</w:t>
      </w:r>
    </w:p>
    <w:p>
      <w:pPr>
        <w:pStyle w:val="Heading2"/>
      </w:pPr>
      <w:r>
        <w:rPr>
          <w:rFonts w:ascii="Calibri" w:hAnsi="Calibri"/>
          <w:b/>
          <w:color w:val="2E74B5"/>
          <w:sz w:val="26"/>
        </w:rPr>
        <w:t>Ventana de cambio</w:t>
      </w:r>
    </w:p>
    <w:p>
      <w:pPr>
        <w:numPr>
          <w:ilvl w:val="0"/>
          <w:numId w:val="16"/>
        </w:numPr>
      </w:pPr>
      <w:r>
        <w:rPr>
          <w:rFonts w:ascii="Calibri" w:hAnsi="Calibri"/>
          <w:b w:val="0"/>
          <w:color w:val="17202A"/>
          <w:sz w:val="22"/>
        </w:rPr>
        <w:t>Registrar estado inicial.</w:t>
      </w:r>
    </w:p>
    <w:p>
      <w:pPr>
        <w:numPr>
          <w:ilvl w:val="0"/>
          <w:numId w:val="16"/>
        </w:numPr>
      </w:pPr>
      <w:r>
        <w:rPr>
          <w:rFonts w:ascii="Calibri" w:hAnsi="Calibri"/>
          <w:b w:val="0"/>
          <w:color w:val="17202A"/>
          <w:sz w:val="22"/>
        </w:rPr>
        <w:t>Cambiar CNAME/alias objetivo.</w:t>
      </w:r>
    </w:p>
    <w:p>
      <w:pPr>
        <w:numPr>
          <w:ilvl w:val="0"/>
          <w:numId w:val="16"/>
        </w:numPr>
      </w:pPr>
      <w:r>
        <w:rPr>
          <w:rFonts w:ascii="Calibri" w:hAnsi="Calibri"/>
          <w:b w:val="0"/>
          <w:color w:val="17202A"/>
          <w:sz w:val="22"/>
        </w:rPr>
        <w:t>Verificar DNS desde varios resolvers.</w:t>
      </w:r>
    </w:p>
    <w:p>
      <w:pPr>
        <w:numPr>
          <w:ilvl w:val="0"/>
          <w:numId w:val="16"/>
        </w:numPr>
      </w:pPr>
      <w:r>
        <w:rPr>
          <w:rFonts w:ascii="Calibri" w:hAnsi="Calibri"/>
          <w:b w:val="0"/>
          <w:color w:val="17202A"/>
          <w:sz w:val="22"/>
        </w:rPr>
        <w:t>Ejecutar smoke tests.</w:t>
      </w:r>
    </w:p>
    <w:p>
      <w:pPr>
        <w:numPr>
          <w:ilvl w:val="0"/>
          <w:numId w:val="16"/>
        </w:numPr>
      </w:pPr>
      <w:r>
        <w:rPr>
          <w:rFonts w:ascii="Calibri" w:hAnsi="Calibri"/>
          <w:b w:val="0"/>
          <w:color w:val="17202A"/>
          <w:sz w:val="22"/>
        </w:rPr>
        <w:t>Vigilar errores, WAF, cache status y origen.</w:t>
      </w:r>
    </w:p>
    <w:p>
      <w:pPr>
        <w:numPr>
          <w:ilvl w:val="0"/>
          <w:numId w:val="16"/>
        </w:numPr>
      </w:pPr>
      <w:r>
        <w:rPr>
          <w:rFonts w:ascii="Calibri" w:hAnsi="Calibri"/>
          <w:b w:val="0"/>
          <w:color w:val="17202A"/>
          <w:sz w:val="22"/>
        </w:rPr>
        <w:t>Comunicar estado.</w:t>
      </w:r>
    </w:p>
    <w:p>
      <w:pPr>
        <w:pStyle w:val="Heading2"/>
      </w:pPr>
      <w:r>
        <w:rPr>
          <w:rFonts w:ascii="Calibri" w:hAnsi="Calibri"/>
          <w:b/>
          <w:color w:val="2E74B5"/>
          <w:sz w:val="26"/>
        </w:rPr>
        <w:t>Después</w:t>
      </w:r>
    </w:p>
    <w:p>
      <w:pPr>
        <w:numPr>
          <w:ilvl w:val="0"/>
          <w:numId w:val="10"/>
        </w:numPr>
      </w:pPr>
      <w:r>
        <w:rPr>
          <w:rFonts w:ascii="Calibri" w:hAnsi="Calibri"/>
          <w:b w:val="0"/>
          <w:color w:val="17202A"/>
          <w:sz w:val="22"/>
        </w:rPr>
        <w:t>Ejecutar matriz funcional completa.</w:t>
      </w:r>
    </w:p>
    <w:p>
      <w:pPr>
        <w:numPr>
          <w:ilvl w:val="0"/>
          <w:numId w:val="10"/>
        </w:numPr>
      </w:pPr>
      <w:r>
        <w:rPr>
          <w:rFonts w:ascii="Calibri" w:hAnsi="Calibri"/>
          <w:b w:val="0"/>
          <w:color w:val="17202A"/>
          <w:sz w:val="22"/>
        </w:rPr>
        <w:t>Comparar métricas con línea base.</w:t>
      </w:r>
    </w:p>
    <w:p>
      <w:pPr>
        <w:numPr>
          <w:ilvl w:val="0"/>
          <w:numId w:val="10"/>
        </w:numPr>
      </w:pPr>
      <w:r>
        <w:rPr>
          <w:rFonts w:ascii="Calibri" w:hAnsi="Calibri"/>
          <w:b w:val="0"/>
          <w:color w:val="17202A"/>
          <w:sz w:val="22"/>
        </w:rPr>
        <w:t>Mantener AFD y allowlists.</w:t>
      </w:r>
    </w:p>
    <w:p>
      <w:pPr>
        <w:numPr>
          <w:ilvl w:val="0"/>
          <w:numId w:val="10"/>
        </w:numPr>
      </w:pPr>
      <w:r>
        <w:rPr>
          <w:rFonts w:ascii="Calibri" w:hAnsi="Calibri"/>
          <w:b w:val="0"/>
          <w:color w:val="17202A"/>
          <w:sz w:val="22"/>
        </w:rPr>
        <w:t>Evitar optimizaciones adicionales hasta estabilizar.</w:t>
      </w:r>
    </w:p>
    <w:p>
      <w:pPr>
        <w:pStyle w:val="Heading1"/>
      </w:pPr>
      <w:r>
        <w:rPr>
          <w:rFonts w:ascii="Calibri" w:hAnsi="Calibri"/>
          <w:b/>
          <w:color w:val="2E74B5"/>
          <w:sz w:val="32"/>
        </w:rPr>
        <w:t>15. Rollback</w:t>
      </w:r>
    </w:p>
    <w:p>
      <w:pPr>
        <w:pStyle w:val="Heading2"/>
      </w:pPr>
      <w:r>
        <w:rPr>
          <w:rFonts w:ascii="Calibri" w:hAnsi="Calibri"/>
          <w:b/>
          <w:color w:val="2E74B5"/>
          <w:sz w:val="26"/>
        </w:rPr>
        <w:t>Activadores</w:t>
      </w:r>
    </w:p>
    <w:p>
      <w:pPr>
        <w:numPr>
          <w:ilvl w:val="0"/>
          <w:numId w:val="10"/>
        </w:numPr>
      </w:pPr>
      <w:r>
        <w:rPr>
          <w:rFonts w:ascii="Calibri" w:hAnsi="Calibri"/>
          <w:b w:val="0"/>
          <w:color w:val="17202A"/>
          <w:sz w:val="22"/>
        </w:rPr>
        <w:t>Checkout/pago no funcional.</w:t>
      </w:r>
    </w:p>
    <w:p>
      <w:pPr>
        <w:numPr>
          <w:ilvl w:val="0"/>
          <w:numId w:val="10"/>
        </w:numPr>
      </w:pPr>
      <w:r>
        <w:rPr>
          <w:rFonts w:ascii="Calibri" w:hAnsi="Calibri"/>
          <w:b w:val="0"/>
          <w:color w:val="17202A"/>
          <w:sz w:val="22"/>
        </w:rPr>
        <w:t>Fuga o mezcla de contenido personalizado.</w:t>
      </w:r>
    </w:p>
    <w:p>
      <w:pPr>
        <w:numPr>
          <w:ilvl w:val="0"/>
          <w:numId w:val="10"/>
        </w:numPr>
      </w:pPr>
      <w:r>
        <w:rPr>
          <w:rFonts w:ascii="Calibri" w:hAnsi="Calibri"/>
          <w:b w:val="0"/>
          <w:color w:val="17202A"/>
          <w:sz w:val="22"/>
        </w:rPr>
        <w:t>Error 5xx sostenido.</w:t>
      </w:r>
    </w:p>
    <w:p>
      <w:pPr>
        <w:numPr>
          <w:ilvl w:val="0"/>
          <w:numId w:val="10"/>
        </w:numPr>
      </w:pPr>
      <w:r>
        <w:rPr>
          <w:rFonts w:ascii="Calibri" w:hAnsi="Calibri"/>
          <w:b w:val="0"/>
          <w:color w:val="17202A"/>
          <w:sz w:val="22"/>
        </w:rPr>
        <w:t>WAF bloquea tráfico crítico sin solución rápida.</w:t>
      </w:r>
    </w:p>
    <w:p>
      <w:pPr>
        <w:numPr>
          <w:ilvl w:val="0"/>
          <w:numId w:val="10"/>
        </w:numPr>
      </w:pPr>
      <w:r>
        <w:rPr>
          <w:rFonts w:ascii="Calibri" w:hAnsi="Calibri"/>
          <w:b w:val="0"/>
          <w:color w:val="17202A"/>
          <w:sz w:val="22"/>
        </w:rPr>
        <w:t>Blog o API inaccesibles.</w:t>
      </w:r>
    </w:p>
    <w:p>
      <w:pPr>
        <w:numPr>
          <w:ilvl w:val="0"/>
          <w:numId w:val="10"/>
        </w:numPr>
      </w:pPr>
      <w:r>
        <w:rPr>
          <w:rFonts w:ascii="Calibri" w:hAnsi="Calibri"/>
          <w:b w:val="0"/>
          <w:color w:val="17202A"/>
          <w:sz w:val="22"/>
        </w:rPr>
        <w:t>Problema de TLS/origen no resoluble en ventana.</w:t>
      </w:r>
    </w:p>
    <w:p>
      <w:pPr>
        <w:pStyle w:val="Heading2"/>
      </w:pPr>
      <w:r>
        <w:rPr>
          <w:rFonts w:ascii="Calibri" w:hAnsi="Calibri"/>
          <w:b/>
          <w:color w:val="2E74B5"/>
          <w:sz w:val="26"/>
        </w:rPr>
        <w:t>Procedimiento</w:t>
      </w:r>
    </w:p>
    <w:p>
      <w:pPr>
        <w:numPr>
          <w:ilvl w:val="0"/>
          <w:numId w:val="17"/>
        </w:numPr>
      </w:pPr>
      <w:r>
        <w:rPr>
          <w:rFonts w:ascii="Calibri" w:hAnsi="Calibri"/>
          <w:b w:val="0"/>
          <w:color w:val="17202A"/>
          <w:sz w:val="22"/>
        </w:rPr>
        <w:t>Restaurar registro DNS anterior.</w:t>
      </w:r>
    </w:p>
    <w:p>
      <w:pPr>
        <w:numPr>
          <w:ilvl w:val="0"/>
          <w:numId w:val="17"/>
        </w:numPr>
      </w:pPr>
      <w:r>
        <w:rPr>
          <w:rFonts w:ascii="Calibri" w:hAnsi="Calibri"/>
          <w:b w:val="0"/>
          <w:color w:val="17202A"/>
          <w:sz w:val="22"/>
        </w:rPr>
        <w:t>Confirmar resolución hacia AFD.</w:t>
      </w:r>
    </w:p>
    <w:p>
      <w:pPr>
        <w:numPr>
          <w:ilvl w:val="0"/>
          <w:numId w:val="17"/>
        </w:numPr>
      </w:pPr>
      <w:r>
        <w:rPr>
          <w:rFonts w:ascii="Calibri" w:hAnsi="Calibri"/>
          <w:b w:val="0"/>
          <w:color w:val="17202A"/>
          <w:sz w:val="22"/>
        </w:rPr>
        <w:t>Ejecutar smoke tests en AFD.</w:t>
      </w:r>
    </w:p>
    <w:p>
      <w:pPr>
        <w:numPr>
          <w:ilvl w:val="0"/>
          <w:numId w:val="17"/>
        </w:numPr>
      </w:pPr>
      <w:r>
        <w:rPr>
          <w:rFonts w:ascii="Calibri" w:hAnsi="Calibri"/>
          <w:b w:val="0"/>
          <w:color w:val="17202A"/>
          <w:sz w:val="22"/>
        </w:rPr>
        <w:t>Mantener Cloudflare sin tráfico para análisis.</w:t>
      </w:r>
    </w:p>
    <w:p>
      <w:pPr>
        <w:numPr>
          <w:ilvl w:val="0"/>
          <w:numId w:val="17"/>
        </w:numPr>
      </w:pPr>
      <w:r>
        <w:rPr>
          <w:rFonts w:ascii="Calibri" w:hAnsi="Calibri"/>
          <w:b w:val="0"/>
          <w:color w:val="17202A"/>
          <w:sz w:val="22"/>
        </w:rPr>
        <w:t>Preservar evidencias y línea temporal.</w:t>
      </w:r>
    </w:p>
    <w:p>
      <w:pPr>
        <w:numPr>
          <w:ilvl w:val="0"/>
          <w:numId w:val="17"/>
        </w:numPr>
      </w:pPr>
      <w:r>
        <w:rPr>
          <w:rFonts w:ascii="Calibri" w:hAnsi="Calibri"/>
          <w:b w:val="0"/>
          <w:color w:val="17202A"/>
          <w:sz w:val="22"/>
        </w:rPr>
        <w:t>Comunicar resultado y siguiente intento.</w:t>
      </w:r>
    </w:p>
    <w:p>
      <w:r>
        <w:rPr>
          <w:rFonts w:ascii="Calibri" w:hAnsi="Calibri"/>
          <w:b w:val="0"/>
          <w:color w:val="17202A"/>
          <w:sz w:val="22"/>
        </w:rPr>
        <w:t>Rollback no incluye deshacer cada regla de Cloudflare durante la incidencia; basta con retirar el tráfico.</w:t>
      </w:r>
    </w:p>
    <w:p>
      <w:pPr>
        <w:pStyle w:val="Heading1"/>
      </w:pPr>
      <w:r>
        <w:rPr>
          <w:rFonts w:ascii="Calibri" w:hAnsi="Calibri"/>
          <w:b/>
          <w:color w:val="2E74B5"/>
          <w:sz w:val="32"/>
        </w:rPr>
        <w:t>16. Hardening posterior</w:t>
      </w:r>
    </w:p>
    <w:p>
      <w:r>
        <w:rPr>
          <w:rFonts w:ascii="Calibri" w:hAnsi="Calibri"/>
          <w:b w:val="0"/>
          <w:color w:val="17202A"/>
          <w:sz w:val="22"/>
        </w:rPr>
        <w:t>Solo después de estabilizar:</w:t>
      </w:r>
    </w:p>
    <w:p>
      <w:pPr>
        <w:numPr>
          <w:ilvl w:val="0"/>
          <w:numId w:val="10"/>
        </w:numPr>
      </w:pPr>
      <w:r>
        <w:rPr>
          <w:rFonts w:ascii="Calibri" w:hAnsi="Calibri"/>
          <w:b w:val="0"/>
          <w:color w:val="17202A"/>
          <w:sz w:val="22"/>
        </w:rPr>
        <w:t>Limitar SAP a rangos Cloudflare y fuentes autorizadas.</w:t>
      </w:r>
    </w:p>
    <w:p>
      <w:pPr>
        <w:numPr>
          <w:ilvl w:val="0"/>
          <w:numId w:val="10"/>
        </w:numPr>
      </w:pPr>
      <w:r>
        <w:rPr>
          <w:rFonts w:ascii="Calibri" w:hAnsi="Calibri"/>
          <w:b w:val="0"/>
          <w:color w:val="17202A"/>
          <w:sz w:val="22"/>
        </w:rPr>
        <w:t>Actualizar validación del blog para la nueva cadena de proxies.</w:t>
      </w:r>
    </w:p>
    <w:p>
      <w:pPr>
        <w:numPr>
          <w:ilvl w:val="0"/>
          <w:numId w:val="10"/>
        </w:numPr>
      </w:pPr>
      <w:r>
        <w:rPr>
          <w:rFonts w:ascii="Calibri" w:hAnsi="Calibri"/>
          <w:b w:val="0"/>
          <w:color w:val="17202A"/>
          <w:sz w:val="22"/>
        </w:rPr>
        <w:t>Retirar AFD de allowlists cuando ya no sea rollback.</w:t>
      </w:r>
    </w:p>
    <w:p>
      <w:pPr>
        <w:numPr>
          <w:ilvl w:val="0"/>
          <w:numId w:val="10"/>
        </w:numPr>
      </w:pPr>
      <w:r>
        <w:rPr>
          <w:rFonts w:ascii="Calibri" w:hAnsi="Calibri"/>
          <w:b w:val="0"/>
          <w:color w:val="17202A"/>
          <w:sz w:val="22"/>
        </w:rPr>
        <w:t>Desactivar rutas/configuración AFD tras aprobación.</w:t>
      </w:r>
    </w:p>
    <w:p>
      <w:pPr>
        <w:numPr>
          <w:ilvl w:val="0"/>
          <w:numId w:val="10"/>
        </w:numPr>
      </w:pPr>
      <w:r>
        <w:rPr>
          <w:rFonts w:ascii="Calibri" w:hAnsi="Calibri"/>
          <w:b w:val="0"/>
          <w:color w:val="17202A"/>
          <w:sz w:val="22"/>
        </w:rPr>
        <w:t>Activar Tiered Cache y reglas avanzadas de forma gradual.</w:t>
      </w:r>
    </w:p>
    <w:p>
      <w:pPr>
        <w:numPr>
          <w:ilvl w:val="0"/>
          <w:numId w:val="10"/>
        </w:numPr>
      </w:pPr>
      <w:r>
        <w:rPr>
          <w:rFonts w:ascii="Calibri" w:hAnsi="Calibri"/>
          <w:b w:val="0"/>
          <w:color w:val="17202A"/>
          <w:sz w:val="22"/>
        </w:rPr>
        <w:t>Automatizar purgas y control de configuración.</w:t>
      </w:r>
    </w:p>
    <w:p>
      <w:pPr>
        <w:pStyle w:val="Heading1"/>
      </w:pPr>
      <w:r>
        <w:rPr>
          <w:rFonts w:ascii="Calibri" w:hAnsi="Calibri"/>
          <w:b/>
          <w:color w:val="2E74B5"/>
          <w:sz w:val="32"/>
        </w:rPr>
        <w:t>17. Checklist go/no-go</w:t>
      </w:r>
    </w:p>
    <w:p>
      <w:pPr>
        <w:numPr>
          <w:ilvl w:val="0"/>
          <w:numId w:val="11"/>
        </w:numPr>
      </w:pPr>
      <w:r>
        <w:rPr>
          <w:rFonts w:ascii="Calibri" w:hAnsi="Calibri"/>
          <w:b w:val="0"/>
          <w:color w:val="17202A"/>
          <w:sz w:val="22"/>
        </w:rPr>
        <w:t>Inventario de dominios, rutas, reglas y orígenes completo.</w:t>
      </w:r>
    </w:p>
    <w:p>
      <w:pPr>
        <w:numPr>
          <w:ilvl w:val="0"/>
          <w:numId w:val="11"/>
        </w:numPr>
      </w:pPr>
      <w:r>
        <w:rPr>
          <w:rFonts w:ascii="Calibri" w:hAnsi="Calibri"/>
          <w:b w:val="0"/>
          <w:color w:val="17202A"/>
          <w:sz w:val="22"/>
        </w:rPr>
        <w:t>Host/SNI validados para SAP, API, AGW y redirector.</w:t>
      </w:r>
    </w:p>
    <w:p>
      <w:pPr>
        <w:numPr>
          <w:ilvl w:val="0"/>
          <w:numId w:val="11"/>
        </w:numPr>
      </w:pPr>
      <w:r>
        <w:rPr>
          <w:rFonts w:ascii="Calibri" w:hAnsi="Calibri"/>
          <w:b w:val="0"/>
          <w:color w:val="17202A"/>
          <w:sz w:val="22"/>
        </w:rPr>
        <w:t>Gap de Origin Rules Business resuelto.</w:t>
      </w:r>
    </w:p>
    <w:p>
      <w:pPr>
        <w:numPr>
          <w:ilvl w:val="0"/>
          <w:numId w:val="11"/>
        </w:numPr>
      </w:pPr>
      <w:r>
        <w:rPr>
          <w:rFonts w:ascii="Calibri" w:hAnsi="Calibri"/>
          <w:b w:val="0"/>
          <w:color w:val="17202A"/>
          <w:sz w:val="22"/>
        </w:rPr>
        <w:t>Necesidad de Load Balancing decidida.</w:t>
      </w:r>
    </w:p>
    <w:p>
      <w:pPr>
        <w:numPr>
          <w:ilvl w:val="0"/>
          <w:numId w:val="11"/>
        </w:numPr>
      </w:pPr>
      <w:r>
        <w:rPr>
          <w:rFonts w:ascii="Calibri" w:hAnsi="Calibri"/>
          <w:b w:val="0"/>
          <w:color w:val="17202A"/>
          <w:sz w:val="22"/>
        </w:rPr>
        <w:t>Certificados y CAA validados.</w:t>
      </w:r>
    </w:p>
    <w:p>
      <w:pPr>
        <w:numPr>
          <w:ilvl w:val="0"/>
          <w:numId w:val="11"/>
        </w:numPr>
      </w:pPr>
      <w:r>
        <w:rPr>
          <w:rFonts w:ascii="Calibri" w:hAnsi="Calibri"/>
          <w:b w:val="0"/>
          <w:color w:val="17202A"/>
          <w:sz w:val="22"/>
        </w:rPr>
        <w:t>Bypass de sesiones/transacciones probado.</w:t>
      </w:r>
    </w:p>
    <w:p>
      <w:pPr>
        <w:numPr>
          <w:ilvl w:val="0"/>
          <w:numId w:val="11"/>
        </w:numPr>
      </w:pPr>
      <w:r>
        <w:rPr>
          <w:rFonts w:ascii="Calibri" w:hAnsi="Calibri"/>
          <w:b w:val="0"/>
          <w:color w:val="17202A"/>
          <w:sz w:val="22"/>
        </w:rPr>
        <w:t>Matriz funcional superada.</w:t>
      </w:r>
    </w:p>
    <w:p>
      <w:pPr>
        <w:numPr>
          <w:ilvl w:val="0"/>
          <w:numId w:val="11"/>
        </w:numPr>
      </w:pPr>
      <w:r>
        <w:rPr>
          <w:rFonts w:ascii="Calibri" w:hAnsi="Calibri"/>
          <w:b w:val="0"/>
          <w:color w:val="17202A"/>
          <w:sz w:val="22"/>
        </w:rPr>
        <w:t>Excepciones WAF/bots aprobadas.</w:t>
      </w:r>
    </w:p>
    <w:p>
      <w:pPr>
        <w:numPr>
          <w:ilvl w:val="0"/>
          <w:numId w:val="11"/>
        </w:numPr>
      </w:pPr>
      <w:r>
        <w:rPr>
          <w:rFonts w:ascii="Calibri" w:hAnsi="Calibri"/>
          <w:b w:val="0"/>
          <w:color w:val="17202A"/>
          <w:sz w:val="22"/>
        </w:rPr>
        <w:t>Métricas y alertas disponibles.</w:t>
      </w:r>
    </w:p>
    <w:p>
      <w:pPr>
        <w:numPr>
          <w:ilvl w:val="0"/>
          <w:numId w:val="11"/>
        </w:numPr>
      </w:pPr>
      <w:r>
        <w:rPr>
          <w:rFonts w:ascii="Calibri" w:hAnsi="Calibri"/>
          <w:b w:val="0"/>
          <w:color w:val="17202A"/>
          <w:sz w:val="22"/>
        </w:rPr>
        <w:t>CNAME de rollback preparado.</w:t>
      </w:r>
    </w:p>
    <w:p>
      <w:pPr>
        <w:numPr>
          <w:ilvl w:val="0"/>
          <w:numId w:val="11"/>
        </w:numPr>
      </w:pPr>
      <w:r>
        <w:rPr>
          <w:rFonts w:ascii="Calibri" w:hAnsi="Calibri"/>
          <w:b w:val="0"/>
          <w:color w:val="17202A"/>
          <w:sz w:val="22"/>
        </w:rPr>
        <w:t>AFD operativo y sin retirar.</w:t>
      </w:r>
    </w:p>
    <w:p>
      <w:pPr>
        <w:numPr>
          <w:ilvl w:val="0"/>
          <w:numId w:val="11"/>
        </w:numPr>
      </w:pPr>
      <w:r>
        <w:rPr>
          <w:rFonts w:ascii="Calibri" w:hAnsi="Calibri"/>
          <w:b w:val="0"/>
          <w:color w:val="17202A"/>
          <w:sz w:val="22"/>
        </w:rPr>
        <w:t>Responsables y ventana confirmados.</w:t>
      </w:r>
    </w:p>
    <w:p>
      <w:pPr>
        <w:pStyle w:val="Heading1"/>
      </w:pPr>
      <w:r>
        <w:rPr>
          <w:rFonts w:ascii="Calibri" w:hAnsi="Calibri"/>
          <w:b/>
          <w:color w:val="2E74B5"/>
          <w:sz w:val="32"/>
        </w:rPr>
        <w:t>18. Preguntas para el integrador y Cloudflare</w:t>
      </w:r>
    </w:p>
    <w:p>
      <w:pPr>
        <w:pStyle w:val="Heading2"/>
      </w:pPr>
      <w:r>
        <w:rPr>
          <w:rFonts w:ascii="Calibri" w:hAnsi="Calibri"/>
          <w:b/>
          <w:color w:val="2E74B5"/>
          <w:sz w:val="26"/>
        </w:rPr>
        <w:t>Implantación comparable</w:t>
      </w:r>
    </w:p>
    <w:p>
      <w:pPr>
        <w:numPr>
          <w:ilvl w:val="0"/>
          <w:numId w:val="10"/>
        </w:numPr>
      </w:pPr>
      <w:r>
        <w:rPr>
          <w:rFonts w:ascii="Calibri" w:hAnsi="Calibri"/>
          <w:b w:val="0"/>
          <w:color w:val="17202A"/>
          <w:sz w:val="22"/>
        </w:rPr>
        <w:t>¿Usan zona completa o CNAME parcial?</w:t>
      </w:r>
    </w:p>
    <w:p>
      <w:pPr>
        <w:numPr>
          <w:ilvl w:val="0"/>
          <w:numId w:val="10"/>
        </w:numPr>
      </w:pPr>
      <w:r>
        <w:rPr>
          <w:rFonts w:ascii="Calibri" w:hAnsi="Calibri"/>
          <w:b w:val="0"/>
          <w:color w:val="17202A"/>
          <w:sz w:val="22"/>
        </w:rPr>
        <w:t>¿Cómo conectan Cloudflare Business con SAP: Host, SNI y hostname?</w:t>
      </w:r>
    </w:p>
    <w:p>
      <w:pPr>
        <w:numPr>
          <w:ilvl w:val="0"/>
          <w:numId w:val="10"/>
        </w:numPr>
      </w:pPr>
      <w:r>
        <w:rPr>
          <w:rFonts w:ascii="Calibri" w:hAnsi="Calibri"/>
          <w:b w:val="0"/>
          <w:color w:val="17202A"/>
          <w:sz w:val="22"/>
        </w:rPr>
        <w:t>¿Qué Cache Rules y cookies de bypass tienen?</w:t>
      </w:r>
    </w:p>
    <w:p>
      <w:pPr>
        <w:numPr>
          <w:ilvl w:val="0"/>
          <w:numId w:val="10"/>
        </w:numPr>
      </w:pPr>
      <w:r>
        <w:rPr>
          <w:rFonts w:ascii="Calibri" w:hAnsi="Calibri"/>
          <w:b w:val="0"/>
          <w:color w:val="17202A"/>
          <w:sz w:val="22"/>
        </w:rPr>
        <w:t>¿Cachean HTML, OCC o solo estáticos?</w:t>
      </w:r>
    </w:p>
    <w:p>
      <w:pPr>
        <w:numPr>
          <w:ilvl w:val="0"/>
          <w:numId w:val="10"/>
        </w:numPr>
      </w:pPr>
      <w:r>
        <w:rPr>
          <w:rFonts w:ascii="Calibri" w:hAnsi="Calibri"/>
          <w:b w:val="0"/>
          <w:color w:val="17202A"/>
          <w:sz w:val="22"/>
        </w:rPr>
        <w:t>¿Usan Tiered Cache, Workers, Load Balancing o Argo?</w:t>
      </w:r>
    </w:p>
    <w:p>
      <w:pPr>
        <w:numPr>
          <w:ilvl w:val="0"/>
          <w:numId w:val="10"/>
        </w:numPr>
      </w:pPr>
      <w:r>
        <w:rPr>
          <w:rFonts w:ascii="Calibri" w:hAnsi="Calibri"/>
          <w:b w:val="0"/>
          <w:color w:val="17202A"/>
          <w:sz w:val="22"/>
        </w:rPr>
        <w:t>¿Cómo purgan al publicar productos y campañas?</w:t>
      </w:r>
    </w:p>
    <w:p>
      <w:pPr>
        <w:numPr>
          <w:ilvl w:val="0"/>
          <w:numId w:val="10"/>
        </w:numPr>
      </w:pPr>
      <w:r>
        <w:rPr>
          <w:rFonts w:ascii="Calibri" w:hAnsi="Calibri"/>
          <w:b w:val="0"/>
          <w:color w:val="17202A"/>
          <w:sz w:val="22"/>
        </w:rPr>
        <w:t>¿Qué falsos positivos encontraron?</w:t>
      </w:r>
    </w:p>
    <w:p>
      <w:pPr>
        <w:numPr>
          <w:ilvl w:val="0"/>
          <w:numId w:val="10"/>
        </w:numPr>
      </w:pPr>
      <w:r>
        <w:rPr>
          <w:rFonts w:ascii="Calibri" w:hAnsi="Calibri"/>
          <w:b w:val="0"/>
          <w:color w:val="17202A"/>
          <w:sz w:val="22"/>
        </w:rPr>
        <w:t>¿Cómo monitorizan sin Logpush Enterprise?</w:t>
      </w:r>
    </w:p>
    <w:p>
      <w:pPr>
        <w:pStyle w:val="Heading2"/>
      </w:pPr>
      <w:r>
        <w:rPr>
          <w:rFonts w:ascii="Calibri" w:hAnsi="Calibri"/>
          <w:b/>
          <w:color w:val="2E74B5"/>
          <w:sz w:val="26"/>
        </w:rPr>
        <w:t>Integrador/Cloudflare</w:t>
      </w:r>
    </w:p>
    <w:p>
      <w:pPr>
        <w:numPr>
          <w:ilvl w:val="0"/>
          <w:numId w:val="10"/>
        </w:numPr>
      </w:pPr>
      <w:r>
        <w:rPr>
          <w:rFonts w:ascii="Calibri" w:hAnsi="Calibri"/>
          <w:b w:val="0"/>
          <w:color w:val="17202A"/>
          <w:sz w:val="22"/>
        </w:rPr>
        <w:t>¿Qué funciones concretas del presupuesto requieren Enterprise?</w:t>
      </w:r>
    </w:p>
    <w:p>
      <w:pPr>
        <w:numPr>
          <w:ilvl w:val="0"/>
          <w:numId w:val="10"/>
        </w:numPr>
      </w:pPr>
      <w:r>
        <w:rPr>
          <w:rFonts w:ascii="Calibri" w:hAnsi="Calibri"/>
          <w:b w:val="0"/>
          <w:color w:val="17202A"/>
          <w:sz w:val="22"/>
        </w:rPr>
        <w:t>¿La topología ofrecida incluye Regional Tiered Cache?</w:t>
      </w:r>
    </w:p>
    <w:p>
      <w:pPr>
        <w:numPr>
          <w:ilvl w:val="0"/>
          <w:numId w:val="10"/>
        </w:numPr>
      </w:pPr>
      <w:r>
        <w:rPr>
          <w:rFonts w:ascii="Calibri" w:hAnsi="Calibri"/>
          <w:b w:val="0"/>
          <w:color w:val="17202A"/>
          <w:sz w:val="22"/>
        </w:rPr>
        <w:t>¿Cómo resolverían Host/SNI en Business?</w:t>
      </w:r>
    </w:p>
    <w:p>
      <w:pPr>
        <w:numPr>
          <w:ilvl w:val="0"/>
          <w:numId w:val="10"/>
        </w:numPr>
      </w:pPr>
      <w:r>
        <w:rPr>
          <w:rFonts w:ascii="Calibri" w:hAnsi="Calibri"/>
          <w:b w:val="0"/>
          <w:color w:val="17202A"/>
          <w:sz w:val="22"/>
        </w:rPr>
        <w:t>¿Pueden prestar servicios profesionales puntuales para Business?</w:t>
      </w:r>
    </w:p>
    <w:p>
      <w:pPr>
        <w:numPr>
          <w:ilvl w:val="0"/>
          <w:numId w:val="10"/>
        </w:numPr>
      </w:pPr>
      <w:r>
        <w:rPr>
          <w:rFonts w:ascii="Calibri" w:hAnsi="Calibri"/>
          <w:b w:val="0"/>
          <w:color w:val="17202A"/>
          <w:sz w:val="22"/>
        </w:rPr>
        <w:t>¿Qué soporte y tiempos reales ofrece Business?</w:t>
      </w:r>
    </w:p>
    <w:p>
      <w:pPr>
        <w:numPr>
          <w:ilvl w:val="0"/>
          <w:numId w:val="10"/>
        </w:numPr>
      </w:pPr>
      <w:r>
        <w:rPr>
          <w:rFonts w:ascii="Calibri" w:hAnsi="Calibri"/>
          <w:b w:val="0"/>
          <w:color w:val="17202A"/>
          <w:sz w:val="22"/>
        </w:rPr>
        <w:t>¿Qué add-ons necesita el diseño y cuánto cuestan?</w:t>
      </w:r>
    </w:p>
    <w:p>
      <w:pPr>
        <w:pStyle w:val="Heading2"/>
      </w:pPr>
      <w:r>
        <w:rPr>
          <w:rFonts w:ascii="Calibri" w:hAnsi="Calibri"/>
          <w:b/>
          <w:color w:val="2E74B5"/>
          <w:sz w:val="26"/>
        </w:rPr>
        <w:t>Equipos internos</w:t>
      </w:r>
    </w:p>
    <w:p>
      <w:pPr>
        <w:numPr>
          <w:ilvl w:val="0"/>
          <w:numId w:val="10"/>
        </w:numPr>
      </w:pPr>
      <w:r>
        <w:rPr>
          <w:rFonts w:ascii="Calibri" w:hAnsi="Calibri"/>
          <w:b w:val="0"/>
          <w:color w:val="17202A"/>
          <w:sz w:val="22"/>
        </w:rPr>
        <w:t>¿Qué hace exactamente cada regla AFD?</w:t>
      </w:r>
    </w:p>
    <w:p>
      <w:pPr>
        <w:numPr>
          <w:ilvl w:val="0"/>
          <w:numId w:val="10"/>
        </w:numPr>
      </w:pPr>
      <w:r>
        <w:rPr>
          <w:rFonts w:ascii="Calibri" w:hAnsi="Calibri"/>
          <w:b w:val="0"/>
          <w:color w:val="17202A"/>
          <w:sz w:val="22"/>
        </w:rPr>
        <w:t>¿Qué rutas/cookies son personalizadas?</w:t>
      </w:r>
    </w:p>
    <w:p>
      <w:pPr>
        <w:numPr>
          <w:ilvl w:val="0"/>
          <w:numId w:val="10"/>
        </w:numPr>
      </w:pPr>
      <w:r>
        <w:rPr>
          <w:rFonts w:ascii="Calibri" w:hAnsi="Calibri"/>
          <w:b w:val="0"/>
          <w:color w:val="17202A"/>
          <w:sz w:val="22"/>
        </w:rPr>
        <w:t>¿Qué logs son imprescindibles?</w:t>
      </w:r>
    </w:p>
    <w:p>
      <w:pPr>
        <w:numPr>
          <w:ilvl w:val="0"/>
          <w:numId w:val="10"/>
        </w:numPr>
      </w:pPr>
      <w:r>
        <w:rPr>
          <w:rFonts w:ascii="Calibri" w:hAnsi="Calibri"/>
          <w:b w:val="0"/>
          <w:color w:val="17202A"/>
          <w:sz w:val="22"/>
        </w:rPr>
        <w:t>¿Qué tolerancia existe para precio, stock y promoción?</w:t>
      </w:r>
    </w:p>
    <w:p>
      <w:pPr>
        <w:numPr>
          <w:ilvl w:val="0"/>
          <w:numId w:val="10"/>
        </w:numPr>
      </w:pPr>
      <w:r>
        <w:rPr>
          <w:rFonts w:ascii="Calibri" w:hAnsi="Calibri"/>
          <w:b w:val="0"/>
          <w:color w:val="17202A"/>
          <w:sz w:val="22"/>
        </w:rPr>
        <w:t>¿Qué dependencias siguen usando la plataforma anterior?</w:t>
      </w:r>
    </w:p>
    <w:p>
      <w:pPr>
        <w:pStyle w:val="Heading1"/>
      </w:pPr>
      <w:r>
        <w:rPr>
          <w:rFonts w:ascii="Calibri" w:hAnsi="Calibri"/>
          <w:b/>
          <w:color w:val="2E74B5"/>
          <w:sz w:val="32"/>
        </w:rPr>
        <w:t>19. Entregables de la migración real</w:t>
      </w:r>
    </w:p>
    <w:p>
      <w:r>
        <w:rPr>
          <w:rFonts w:ascii="Calibri" w:hAnsi="Calibri"/>
          <w:b w:val="0"/>
          <w:color w:val="17202A"/>
          <w:sz w:val="22"/>
        </w:rPr>
        <w:t>Esta guía debe convertirse en documentación interna separada con:</w:t>
      </w:r>
    </w:p>
    <w:p>
      <w:pPr>
        <w:numPr>
          <w:ilvl w:val="0"/>
          <w:numId w:val="10"/>
        </w:numPr>
      </w:pPr>
      <w:r>
        <w:rPr>
          <w:rFonts w:ascii="Calibri" w:hAnsi="Calibri"/>
          <w:b w:val="0"/>
          <w:color w:val="17202A"/>
          <w:sz w:val="22"/>
        </w:rPr>
        <w:t>Diagrama con nombres reales.</w:t>
      </w:r>
    </w:p>
    <w:p>
      <w:pPr>
        <w:numPr>
          <w:ilvl w:val="0"/>
          <w:numId w:val="10"/>
        </w:numPr>
      </w:pPr>
      <w:r>
        <w:rPr>
          <w:rFonts w:ascii="Calibri" w:hAnsi="Calibri"/>
          <w:b w:val="0"/>
          <w:color w:val="17202A"/>
          <w:sz w:val="22"/>
        </w:rPr>
        <w:t>Export de AFD.</w:t>
      </w:r>
    </w:p>
    <w:p>
      <w:pPr>
        <w:numPr>
          <w:ilvl w:val="0"/>
          <w:numId w:val="10"/>
        </w:numPr>
      </w:pPr>
      <w:r>
        <w:rPr>
          <w:rFonts w:ascii="Calibri" w:hAnsi="Calibri"/>
          <w:b w:val="0"/>
          <w:color w:val="17202A"/>
          <w:sz w:val="22"/>
        </w:rPr>
        <w:t>Matriz de equivalencia aprobada.</w:t>
      </w:r>
    </w:p>
    <w:p>
      <w:pPr>
        <w:numPr>
          <w:ilvl w:val="0"/>
          <w:numId w:val="10"/>
        </w:numPr>
      </w:pPr>
      <w:r>
        <w:rPr>
          <w:rFonts w:ascii="Calibri" w:hAnsi="Calibri"/>
          <w:b w:val="0"/>
          <w:color w:val="17202A"/>
          <w:sz w:val="22"/>
        </w:rPr>
        <w:t>Reglas Cloudflare versionadas.</w:t>
      </w:r>
    </w:p>
    <w:p>
      <w:pPr>
        <w:numPr>
          <w:ilvl w:val="0"/>
          <w:numId w:val="10"/>
        </w:numPr>
      </w:pPr>
      <w:r>
        <w:rPr>
          <w:rFonts w:ascii="Calibri" w:hAnsi="Calibri"/>
          <w:b w:val="0"/>
          <w:color w:val="17202A"/>
          <w:sz w:val="22"/>
        </w:rPr>
        <w:t>Plan de pruebas con evidencias.</w:t>
      </w:r>
    </w:p>
    <w:p>
      <w:pPr>
        <w:numPr>
          <w:ilvl w:val="0"/>
          <w:numId w:val="10"/>
        </w:numPr>
      </w:pPr>
      <w:r>
        <w:rPr>
          <w:rFonts w:ascii="Calibri" w:hAnsi="Calibri"/>
          <w:b w:val="0"/>
          <w:color w:val="17202A"/>
          <w:sz w:val="22"/>
        </w:rPr>
        <w:t>Runbook de cutover.</w:t>
      </w:r>
    </w:p>
    <w:p>
      <w:pPr>
        <w:numPr>
          <w:ilvl w:val="0"/>
          <w:numId w:val="10"/>
        </w:numPr>
      </w:pPr>
      <w:r>
        <w:rPr>
          <w:rFonts w:ascii="Calibri" w:hAnsi="Calibri"/>
          <w:b w:val="0"/>
          <w:color w:val="17202A"/>
          <w:sz w:val="22"/>
        </w:rPr>
        <w:t>Runbook de rollback.</w:t>
      </w:r>
    </w:p>
    <w:p>
      <w:pPr>
        <w:numPr>
          <w:ilvl w:val="0"/>
          <w:numId w:val="10"/>
        </w:numPr>
      </w:pPr>
      <w:r>
        <w:rPr>
          <w:rFonts w:ascii="Calibri" w:hAnsi="Calibri"/>
          <w:b w:val="0"/>
          <w:color w:val="17202A"/>
          <w:sz w:val="22"/>
        </w:rPr>
        <w:t>Manual de operación.</w:t>
      </w:r>
    </w:p>
    <w:p>
      <w:r>
        <w:rPr>
          <w:rFonts w:ascii="Calibri" w:hAnsi="Calibri"/>
          <w:b w:val="0"/>
          <w:color w:val="17202A"/>
          <w:sz w:val="22"/>
        </w:rPr>
        <w:t>El curso público no necesita ni debe contener esos valores.</w:t>
      </w:r>
    </w:p>
    <w:sectPr w:rsidR="00FC693F" w:rsidRPr="0006063C" w:rsidSect="00034616">
      <w:headerReference w:type="default" r:id="rId9"/>
      <w:footerReference w:type="default" r:id="rId10"/>
      <w:pgSz w:w="12240" w:h="15840"/>
      <w:pgMar w:top="1440" w:right="1440" w:bottom="1440" w:left="1440" w:header="708" w:footer="708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spacing w:before="0"/>
      <w:jc w:val="right"/>
    </w:pPr>
    <w:r>
      <w:rPr>
        <w:rFonts w:ascii="Calibri" w:hAnsi="Calibri"/>
        <w:color w:val="667085"/>
        <w:sz w:val="17"/>
      </w:rPr>
      <w:t xml:space="preserve">Página </w:t>
    </w:r>
    <w:r>
      <w:fldChar w:fldCharType="begin"/>
      <w:instrText xml:space="preserve">PAGE</w:instrText>
      <w:fldChar w:fldCharType="separate"/>
      <w:t>1</w:t>
      <w:fldChar w:fldCharType="end"/>
    </w:r>
  </w:p>
</w:ftr>
</file>

<file path=word/header1.xml><?xml version="1.0" encoding="utf-8"?>
<w:hd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Header"/>
      <w:spacing w:after="0"/>
      <w:jc w:val="left"/>
      <w:pBdr>
        <w:bottom w:val="single" w:sz="4" w:space="4" w:color="D8DEE6"/>
      </w:pBdr>
    </w:pPr>
    <w:r>
      <w:rPr>
        <w:rFonts w:ascii="Calibri" w:hAnsi="Calibri"/>
        <w:b/>
        <w:color w:val="667085"/>
        <w:sz w:val="17"/>
      </w:rPr>
      <w:t>Guía de migración AFD → Cloudflare</w:t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  <w:abstractNum w:abstractNumId="9">
    <w:multiLevelType w:val="singleLevel"/>
    <w:lvl w:ilvl="0">
      <w:start w:val="1"/>
      <w:numFmt w:val="bullet"/>
      <w:lvlText w:val="•"/>
      <w:lvlJc w:val="left"/>
      <w:pPr>
        <w:tabs>
          <w:tab w:val="num" w:pos="540"/>
        </w:tabs>
        <w:ind w:left="540" w:hanging="270"/>
        <w:spacing w:after="80" w:line="300" w:lineRule="auto"/>
      </w:pPr>
      <w:rPr>
        <w:rFonts w:ascii="Calibri" w:hAnsi="Calibri"/>
      </w:rPr>
    </w:lvl>
  </w:abstractNum>
  <w:num w:numId="10">
    <w:abstractNumId w:val="9"/>
  </w:num>
  <w:abstractNum w:abstractNumId="10">
    <w:multiLevelType w:val="singleLevel"/>
    <w:lvl w:ilvl="0">
      <w:start w:val="1"/>
      <w:numFmt w:val="bullet"/>
      <w:lvlText w:val="☐"/>
      <w:lvlJc w:val="left"/>
      <w:pPr>
        <w:tabs>
          <w:tab w:val="num" w:pos="540"/>
        </w:tabs>
        <w:ind w:left="540" w:hanging="270"/>
        <w:spacing w:after="80" w:line="300" w:lineRule="auto"/>
      </w:pPr>
      <w:rPr>
        <w:rFonts w:ascii="Calibri" w:hAnsi="Calibri"/>
      </w:rPr>
    </w:lvl>
  </w:abstractNum>
  <w:num w:numId="11">
    <w:abstractNumId w:val="10"/>
  </w:num>
  <w:abstractNum w:abstractNumId="11">
    <w:multiLevelType w:val="singleLevel"/>
    <w:lvl w:ilvl="0">
      <w:start w:val="1"/>
      <w:numFmt w:val="decimal"/>
      <w:lvlText w:val="%1."/>
      <w:lvlJc w:val="left"/>
      <w:pPr>
        <w:tabs>
          <w:tab w:val="num" w:pos="540"/>
        </w:tabs>
        <w:ind w:left="540" w:hanging="270"/>
        <w:spacing w:after="80" w:line="300" w:lineRule="auto"/>
      </w:pPr>
      <w:rPr>
        <w:rFonts w:ascii="Calibri" w:hAnsi="Calibri"/>
      </w:rPr>
    </w:lvl>
  </w:abstractNum>
  <w:num w:numId="12">
    <w:abstractNumId w:val="11"/>
  </w:num>
  <w:abstractNum w:abstractNumId="12">
    <w:multiLevelType w:val="singleLevel"/>
    <w:lvl w:ilvl="0">
      <w:start w:val="1"/>
      <w:numFmt w:val="decimal"/>
      <w:lvlText w:val="%1."/>
      <w:lvlJc w:val="left"/>
      <w:pPr>
        <w:tabs>
          <w:tab w:val="num" w:pos="540"/>
        </w:tabs>
        <w:ind w:left="540" w:hanging="270"/>
        <w:spacing w:after="80" w:line="300" w:lineRule="auto"/>
      </w:pPr>
      <w:rPr>
        <w:rFonts w:ascii="Calibri" w:hAnsi="Calibri"/>
      </w:rPr>
    </w:lvl>
  </w:abstractNum>
  <w:num w:numId="13">
    <w:abstractNumId w:val="12"/>
  </w:num>
  <w:abstractNum w:abstractNumId="13">
    <w:multiLevelType w:val="singleLevel"/>
    <w:lvl w:ilvl="0">
      <w:start w:val="1"/>
      <w:numFmt w:val="decimal"/>
      <w:lvlText w:val="%1."/>
      <w:lvlJc w:val="left"/>
      <w:pPr>
        <w:tabs>
          <w:tab w:val="num" w:pos="540"/>
        </w:tabs>
        <w:ind w:left="540" w:hanging="270"/>
        <w:spacing w:after="80" w:line="300" w:lineRule="auto"/>
      </w:pPr>
      <w:rPr>
        <w:rFonts w:ascii="Calibri" w:hAnsi="Calibri"/>
      </w:rPr>
    </w:lvl>
  </w:abstractNum>
  <w:num w:numId="14">
    <w:abstractNumId w:val="13"/>
  </w:num>
  <w:abstractNum w:abstractNumId="14">
    <w:multiLevelType w:val="singleLevel"/>
    <w:lvl w:ilvl="0">
      <w:start w:val="1"/>
      <w:numFmt w:val="decimal"/>
      <w:lvlText w:val="%1."/>
      <w:lvlJc w:val="left"/>
      <w:pPr>
        <w:tabs>
          <w:tab w:val="num" w:pos="540"/>
        </w:tabs>
        <w:ind w:left="540" w:hanging="270"/>
        <w:spacing w:after="80" w:line="300" w:lineRule="auto"/>
      </w:pPr>
      <w:rPr>
        <w:rFonts w:ascii="Calibri" w:hAnsi="Calibri"/>
      </w:rPr>
    </w:lvl>
  </w:abstractNum>
  <w:num w:numId="15">
    <w:abstractNumId w:val="14"/>
  </w:num>
  <w:abstractNum w:abstractNumId="15">
    <w:multiLevelType w:val="singleLevel"/>
    <w:lvl w:ilvl="0">
      <w:start w:val="1"/>
      <w:numFmt w:val="decimal"/>
      <w:lvlText w:val="%1."/>
      <w:lvlJc w:val="left"/>
      <w:pPr>
        <w:tabs>
          <w:tab w:val="num" w:pos="540"/>
        </w:tabs>
        <w:ind w:left="540" w:hanging="270"/>
        <w:spacing w:after="80" w:line="300" w:lineRule="auto"/>
      </w:pPr>
      <w:rPr>
        <w:rFonts w:ascii="Calibri" w:hAnsi="Calibri"/>
      </w:rPr>
    </w:lvl>
  </w:abstractNum>
  <w:num w:numId="16">
    <w:abstractNumId w:val="15"/>
  </w:num>
  <w:abstractNum w:abstractNumId="16">
    <w:multiLevelType w:val="singleLevel"/>
    <w:lvl w:ilvl="0">
      <w:start w:val="1"/>
      <w:numFmt w:val="decimal"/>
      <w:lvlText w:val="%1."/>
      <w:lvlJc w:val="left"/>
      <w:pPr>
        <w:tabs>
          <w:tab w:val="num" w:pos="540"/>
        </w:tabs>
        <w:ind w:left="540" w:hanging="270"/>
        <w:spacing w:after="80" w:line="300" w:lineRule="auto"/>
      </w:pPr>
      <w:rPr>
        <w:rFonts w:ascii="Calibri" w:hAnsi="Calibri"/>
      </w:rPr>
    </w:lvl>
  </w:abstractNum>
  <w:num w:numId="17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pPr>
      <w:spacing w:before="0" w:after="120" w:line="300" w:lineRule="auto"/>
    </w:pPr>
    <w:rPr>
      <w:rFonts w:ascii="Calibri" w:hAnsi="Calibri"/>
      <w:color w:val="17202A"/>
      <w:sz w:val="22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360" w:after="200"/>
      <w:outlineLvl w:val="0"/>
    </w:pPr>
    <w:rPr>
      <w:rFonts w:asciiTheme="majorHAnsi" w:eastAsiaTheme="majorEastAsia" w:hAnsiTheme="majorHAnsi" w:cstheme="majorBidi" w:ascii="Calibri" w:hAnsi="Calibri"/>
      <w:b/>
      <w:bCs/>
      <w:color w:val="2E74B5"/>
      <w:sz w:val="32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80" w:after="140"/>
      <w:outlineLvl w:val="1"/>
    </w:pPr>
    <w:rPr>
      <w:rFonts w:asciiTheme="majorHAnsi" w:eastAsiaTheme="majorEastAsia" w:hAnsiTheme="majorHAnsi" w:cstheme="majorBidi" w:ascii="Calibri" w:hAnsi="Calibri"/>
      <w:b/>
      <w:bCs/>
      <w:color w:val="2E74B5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100"/>
      <w:outlineLvl w:val="2"/>
    </w:pPr>
    <w:rPr>
      <w:rFonts w:asciiTheme="majorHAnsi" w:eastAsiaTheme="majorEastAsia" w:hAnsiTheme="majorHAnsi" w:cstheme="majorBidi" w:ascii="Calibri" w:hAnsi="Calibri"/>
      <w:b/>
      <w:bCs/>
      <w:color w:val="1F4D78"/>
      <w:sz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header" Target="header1.xml"/><Relationship Id="rId10" Type="http://schemas.openxmlformats.org/officeDocument/2006/relationships/footer" Target="footer1.xml"/><Relationship Id="rId11" Type="http://schemas.openxmlformats.org/officeDocument/2006/relationships/image" Target="media/image1.png"/><Relationship Id="rId12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Guía de migración</dc:title>
  <dc:subject>Azure Front Door Premium → Cloudflare Business para un ecommerce SAP Commerce</dc:subject>
  <dc:creator>Curso de formación Cloudflare para Ecommerce</dc:creator>
  <cp:keywords>Cloudflare, SAP Commerce, Azure Front Door, CDN, WAF, caché</cp:keywords>
  <dc:description>Generado a partir de documentación pública y contexto funcional anonimizado.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