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1480" w:after="320"/>
        <w:jc w:val="center"/>
      </w:pPr>
      <w:r>
        <w:rPr>
          <w:rFonts w:ascii="Calibri" w:hAnsi="Calibri"/>
          <w:b/>
          <w:color w:val="F48120"/>
          <w:sz w:val="20"/>
        </w:rPr>
        <w:t>FORMACIÓN TÉCNICA</w:t>
      </w:r>
    </w:p>
    <w:p>
      <w:pPr>
        <w:spacing w:after="200"/>
        <w:jc w:val="center"/>
      </w:pPr>
      <w:r>
        <w:rPr>
          <w:rFonts w:ascii="Calibri" w:hAnsi="Calibri"/>
          <w:b/>
          <w:color w:val="17324D"/>
          <w:sz w:val="58"/>
        </w:rPr>
        <w:t>Cloudflare para Conforama</w:t>
      </w:r>
    </w:p>
    <w:p>
      <w:pPr>
        <w:spacing w:after="520"/>
        <w:jc w:val="center"/>
      </w:pPr>
      <w:r>
        <w:rPr>
          <w:rFonts w:ascii="Calibri" w:hAnsi="Calibri"/>
          <w:color w:val="1F4D78"/>
          <w:sz w:val="28"/>
        </w:rPr>
        <w:t>Curso práctico aplicado a SAP Commerce y a la migración desde Azure Front Door</w:t>
      </w:r>
    </w:p>
    <w:p>
      <w:pPr>
        <w:spacing w:after="880"/>
        <w:jc w:val="center"/>
      </w:pPr>
      <w:r>
        <w:rPr>
          <w:rFonts w:ascii="Calibri" w:hAnsi="Calibri"/>
          <w:b/>
          <w:color w:val="667085"/>
          <w:sz w:val="21"/>
        </w:rPr>
        <w:t>Versión 1.0 · Julio de 2026</w:t>
      </w:r>
    </w:p>
    <w:p>
      <w:pPr>
        <w:keepNext/>
        <w:spacing w:before="480" w:after="0"/>
        <w:ind w:left="936" w:right="936"/>
        <w:jc w:val="center"/>
      </w:pPr>
      <w:r>
        <w:rPr>
          <w:rFonts w:ascii="Calibri" w:hAnsi="Calibri"/>
          <w:b w:val="0"/>
          <w:color w:val="667085"/>
          <w:sz w:val="20"/>
        </w:rPr>
        <w:t>Formación basada en documentación oficial y en una arquitectura funcional anonimizada; sin IP, hostnames internos, contratos ni configuración privada.</w:t>
      </w:r>
    </w:p>
    <w:p>
      <w:r>
        <w:br w:type="page"/>
      </w:r>
    </w:p>
    <w:p>
      <w:pPr>
        <w:pStyle w:val="Heading1"/>
      </w:pPr>
      <w:r>
        <w:rPr>
          <w:rFonts w:ascii="Calibri" w:hAnsi="Calibri"/>
          <w:b/>
          <w:color w:val="2E74B5"/>
          <w:sz w:val="32"/>
        </w:rPr>
        <w:t>Cómo utilizar este curso</w:t>
      </w:r>
    </w:p>
    <w:p>
      <w:r>
        <w:rPr>
          <w:rFonts w:ascii="Calibri" w:hAnsi="Calibri"/>
          <w:b w:val="0"/>
          <w:color w:val="17202A"/>
          <w:sz w:val="22"/>
        </w:rPr>
        <w:t>El objetivo no es memorizar el catálogo completo de Cloudflare. Al finalizar deberías poder explicar qué papel desempeña Cloudflare delante de un ecommerce, interpretar una petición desde DNS hasta SAP Commerce, distinguir qué se puede cachear, diseñar reglas de seguridad prudentes y participar con criterio en una migración desde Azure Front Door.</w:t>
      </w:r>
    </w:p>
    <w:p>
      <w:r>
        <w:rPr>
          <w:rFonts w:ascii="Calibri" w:hAnsi="Calibri"/>
          <w:b w:val="0"/>
          <w:color w:val="17202A"/>
          <w:sz w:val="22"/>
        </w:rPr>
        <w:t>El curso sigue una secuencia deliberada:</w:t>
      </w:r>
    </w:p>
    <w:p>
      <w:pPr>
        <w:numPr>
          <w:ilvl w:val="0"/>
          <w:numId w:val="12"/>
        </w:numPr>
      </w:pPr>
      <w:r>
        <w:rPr>
          <w:rFonts w:ascii="Calibri" w:hAnsi="Calibri"/>
          <w:b w:val="0"/>
          <w:color w:val="17202A"/>
          <w:sz w:val="22"/>
        </w:rPr>
        <w:t>Primero se construye el modelo mental: DNS, proxy, CDN, TLS y origen.</w:t>
      </w:r>
    </w:p>
    <w:p>
      <w:pPr>
        <w:numPr>
          <w:ilvl w:val="0"/>
          <w:numId w:val="12"/>
        </w:numPr>
      </w:pPr>
      <w:r>
        <w:rPr>
          <w:rFonts w:ascii="Calibri" w:hAnsi="Calibri"/>
          <w:b w:val="0"/>
          <w:color w:val="17202A"/>
          <w:sz w:val="22"/>
        </w:rPr>
        <w:t>Después se estudia la caché, porque es el área con más impacto en rendimiento y más riesgo funcional.</w:t>
      </w:r>
    </w:p>
    <w:p>
      <w:pPr>
        <w:numPr>
          <w:ilvl w:val="0"/>
          <w:numId w:val="12"/>
        </w:numPr>
      </w:pPr>
      <w:r>
        <w:rPr>
          <w:rFonts w:ascii="Calibri" w:hAnsi="Calibri"/>
          <w:b w:val="0"/>
          <w:color w:val="17202A"/>
          <w:sz w:val="22"/>
        </w:rPr>
        <w:t>A continuación se aplica el modelo a SAP Commerce, OCC y al blog WordPress.</w:t>
      </w:r>
    </w:p>
    <w:p>
      <w:pPr>
        <w:numPr>
          <w:ilvl w:val="0"/>
          <w:numId w:val="12"/>
        </w:numPr>
      </w:pPr>
      <w:r>
        <w:rPr>
          <w:rFonts w:ascii="Calibri" w:hAnsi="Calibri"/>
          <w:b w:val="0"/>
          <w:color w:val="17202A"/>
          <w:sz w:val="22"/>
        </w:rPr>
        <w:t>Luego se incorporan WAF, bots, rate limiting y protección del origen.</w:t>
      </w:r>
    </w:p>
    <w:p>
      <w:pPr>
        <w:numPr>
          <w:ilvl w:val="0"/>
          <w:numId w:val="12"/>
        </w:numPr>
      </w:pPr>
      <w:r>
        <w:rPr>
          <w:rFonts w:ascii="Calibri" w:hAnsi="Calibri"/>
          <w:b w:val="0"/>
          <w:color w:val="17202A"/>
          <w:sz w:val="22"/>
        </w:rPr>
        <w:t>Finalmente se traducen las funciones actuales de Azure Front Door a Cloudflare y se diseña la migración.</w:t>
      </w:r>
    </w:p>
    <w:p>
      <w:r>
        <w:rPr>
          <w:rFonts w:ascii="Calibri" w:hAnsi="Calibri"/>
          <w:b w:val="0"/>
          <w:color w:val="17202A"/>
          <w:sz w:val="22"/>
        </w:rPr>
        <w:t>Cada módulo contiene objetivos, conceptos, aplicación al caso, errores habituales y preguntas de comprobación. Las cifras de planes y límites están revisadas a 19 de julio de 2026; deben validarse antes de contratar porque pueden cambiar.</w:t>
      </w:r>
    </w:p>
    <w:p>
      <w:pPr>
        <w:spacing w:before="120" w:after="200"/>
        <w:ind w:left="259" w:right="144"/>
        <w:shd w:fill="F4F6F9"/>
        <w:pBdr>
          <w:left w:val="single" w:sz="18" w:space="8" w:color="F48120"/>
        </w:pBdr>
      </w:pPr>
      <w:r>
        <w:rPr>
          <w:rFonts w:ascii="Calibri" w:hAnsi="Calibri"/>
          <w:b w:val="0"/>
          <w:color w:val="17324D"/>
          <w:sz w:val="21"/>
        </w:rPr>
        <w:t>Idea central: cambiar el CNAME o activar la nube naranja es fácil. Lo difícil es reproducir el comportamiento actual sin cachear información privada, romper rutas, bloquear integraciones legítimas o perder capacidad de diagnóstico.</w:t>
      </w:r>
    </w:p>
    <w:p>
      <w:pPr>
        <w:pStyle w:val="Heading1"/>
      </w:pPr>
      <w:r>
        <w:rPr>
          <w:rFonts w:ascii="Calibri" w:hAnsi="Calibri"/>
          <w:b/>
          <w:color w:val="2E74B5"/>
          <w:sz w:val="32"/>
        </w:rPr>
        <w:t>Punto de partida: arquitectura actual</w:t>
      </w:r>
    </w:p>
    <w:p>
      <w:r>
        <w:rPr>
          <w:rFonts w:ascii="Calibri" w:hAnsi="Calibri"/>
          <w:b w:val="0"/>
          <w:color w:val="17202A"/>
          <w:sz w:val="22"/>
        </w:rPr>
        <w:t>La arquitectura pública de conforama.pt puede resumirse así:</w:t>
      </w:r>
    </w:p>
    <w:p>
      <w:pPr>
        <w:spacing w:before="120" w:after="160"/>
        <w:jc w:val="center"/>
      </w:pPr>
      <w:r>
        <w:drawing>
          <wp:inline xmlns:a="http://schemas.openxmlformats.org/drawingml/2006/main" xmlns:pic="http://schemas.openxmlformats.org/drawingml/2006/picture">
            <wp:extent cx="5806440" cy="3677412"/>
            <wp:docPr id="1" name="Picture 1" descr="current architecture" title="current architecture"/>
            <wp:cNvGraphicFramePr>
              <a:graphicFrameLocks noChangeAspect="1"/>
            </wp:cNvGraphicFramePr>
            <a:graphic>
              <a:graphicData uri="http://schemas.openxmlformats.org/drawingml/2006/picture">
                <pic:pic>
                  <pic:nvPicPr>
                    <pic:cNvPr id="0" name="current-architecture.png"/>
                    <pic:cNvPicPr/>
                  </pic:nvPicPr>
                  <pic:blipFill>
                    <a:blip r:embed="rId11"/>
                    <a:stretch>
                      <a:fillRect/>
                    </a:stretch>
                  </pic:blipFill>
                  <pic:spPr>
                    <a:xfrm>
                      <a:off x="0" y="0"/>
                      <a:ext cx="5806440" cy="3677412"/>
                    </a:xfrm>
                    <a:prstGeom prst="rect"/>
                  </pic:spPr>
                </pic:pic>
              </a:graphicData>
            </a:graphic>
          </wp:inline>
        </w:drawing>
      </w:r>
    </w:p>
    <w:p>
      <w:pPr>
        <w:numPr>
          <w:ilvl w:val="0"/>
          <w:numId w:val="10"/>
        </w:numPr>
      </w:pPr>
      <w:r>
        <w:rPr>
          <w:rFonts w:ascii="Calibri" w:hAnsi="Calibri"/>
          <w:b w:val="0"/>
          <w:color w:val="17202A"/>
          <w:sz w:val="22"/>
        </w:rPr>
        <w:t>Azure DNS es el DNS autoritativo.</w:t>
      </w:r>
    </w:p>
    <w:p>
      <w:pPr>
        <w:numPr>
          <w:ilvl w:val="0"/>
          <w:numId w:val="10"/>
        </w:numPr>
      </w:pPr>
      <w:r>
        <w:rPr>
          <w:rFonts w:ascii="Calibri" w:hAnsi="Calibri"/>
          <w:b w:val="0"/>
          <w:color w:val="17202A"/>
          <w:sz w:val="22"/>
        </w:rPr>
        <w:t>Azure Front Door Premium es la entrada principal de la tienda: termina TLS, enruta, redirige, reescribe y cachea.</w:t>
      </w:r>
    </w:p>
    <w:p>
      <w:pPr>
        <w:numPr>
          <w:ilvl w:val="0"/>
          <w:numId w:val="10"/>
        </w:numPr>
      </w:pPr>
      <w:r>
        <w:rPr>
          <w:rFonts w:ascii="Calibri" w:hAnsi="Calibri"/>
          <w:b w:val="0"/>
          <w:color w:val="17202A"/>
          <w:sz w:val="22"/>
        </w:rPr>
        <w:t>El storefront composable y la API de comercio son orígenes diferentes de SAP Commerce Cloud.</w:t>
      </w:r>
    </w:p>
    <w:p>
      <w:pPr>
        <w:numPr>
          <w:ilvl w:val="0"/>
          <w:numId w:val="10"/>
        </w:numPr>
      </w:pPr>
      <w:r>
        <w:rPr>
          <w:rFonts w:ascii="Calibri" w:hAnsi="Calibri"/>
          <w:b w:val="0"/>
          <w:color w:val="17202A"/>
          <w:sz w:val="22"/>
        </w:rPr>
        <w:t>El blog se publica bajo una ruta del dominio principal, pero realmente vive en WordPress.</w:t>
      </w:r>
    </w:p>
    <w:p>
      <w:pPr>
        <w:numPr>
          <w:ilvl w:val="0"/>
          <w:numId w:val="10"/>
        </w:numPr>
      </w:pPr>
      <w:r>
        <w:rPr>
          <w:rFonts w:ascii="Calibri" w:hAnsi="Calibri"/>
          <w:b w:val="0"/>
          <w:color w:val="17202A"/>
          <w:sz w:val="22"/>
        </w:rPr>
        <w:t>Para llegar al blog, Front Door envía la petición a Azure Application Gateway, que aporta WAF y reenvía a nginx/WordPress.</w:t>
      </w:r>
    </w:p>
    <w:p>
      <w:pPr>
        <w:numPr>
          <w:ilvl w:val="0"/>
          <w:numId w:val="10"/>
        </w:numPr>
      </w:pPr>
      <w:r>
        <w:rPr>
          <w:rFonts w:ascii="Calibri" w:hAnsi="Calibri"/>
          <w:b w:val="0"/>
          <w:color w:val="17202A"/>
          <w:sz w:val="22"/>
        </w:rPr>
        <w:t>Azure Front Door contiene reglas de caché diferenciadas para home, producto, categoría, traducciones/estáticos y localizador de tiendas.</w:t>
      </w:r>
    </w:p>
    <w:p>
      <w:pPr>
        <w:numPr>
          <w:ilvl w:val="0"/>
          <w:numId w:val="10"/>
        </w:numPr>
      </w:pPr>
      <w:r>
        <w:rPr>
          <w:rFonts w:ascii="Calibri" w:hAnsi="Calibri"/>
          <w:b w:val="0"/>
          <w:color w:val="17202A"/>
          <w:sz w:val="22"/>
        </w:rPr>
        <w:t>También contiene normalización de dominio, idioma y URLs heredadas, además de rewrites para robots y sitemaps por mercado.</w:t>
      </w:r>
    </w:p>
    <w:p>
      <w:r>
        <w:rPr>
          <w:rFonts w:ascii="Calibri" w:hAnsi="Calibri"/>
          <w:b w:val="0"/>
          <w:color w:val="17202A"/>
          <w:sz w:val="22"/>
        </w:rPr>
        <w:t>Esta arquitectura determina el curso. Cloudflare no debe estudiarse como una CDN aislada, sino como la posible sustitución de una pieza que actualmente combina CDN, proxy inverso, TLS, reglas, balanceo, health checks y seguridad.</w:t>
      </w:r>
    </w:p>
    <w:p>
      <w:pPr>
        <w:pStyle w:val="Heading1"/>
      </w:pPr>
      <w:r>
        <w:rPr>
          <w:rFonts w:ascii="Calibri" w:hAnsi="Calibri"/>
          <w:b/>
          <w:color w:val="2E74B5"/>
          <w:sz w:val="32"/>
        </w:rPr>
        <w:t>Módulo 1. Modelo mental de Cloudflare</w:t>
      </w:r>
    </w:p>
    <w:p>
      <w:pPr>
        <w:pStyle w:val="Heading2"/>
      </w:pPr>
      <w:r>
        <w:rPr>
          <w:rFonts w:ascii="Calibri" w:hAnsi="Calibri"/>
          <w:b/>
          <w:color w:val="2E74B5"/>
          <w:sz w:val="26"/>
        </w:rPr>
        <w:t>Objetivos</w:t>
      </w:r>
    </w:p>
    <w:p>
      <w:r>
        <w:rPr>
          <w:rFonts w:ascii="Calibri" w:hAnsi="Calibri"/>
          <w:b w:val="0"/>
          <w:color w:val="17202A"/>
          <w:sz w:val="22"/>
        </w:rPr>
        <w:t>Al terminar este módulo podrás:</w:t>
      </w:r>
    </w:p>
    <w:p>
      <w:pPr>
        <w:numPr>
          <w:ilvl w:val="0"/>
          <w:numId w:val="10"/>
        </w:numPr>
      </w:pPr>
      <w:r>
        <w:rPr>
          <w:rFonts w:ascii="Calibri" w:hAnsi="Calibri"/>
          <w:b w:val="0"/>
          <w:color w:val="17202A"/>
          <w:sz w:val="22"/>
        </w:rPr>
        <w:t>Distinguir DNS, CDN, proxy inverso, PoP, edge y origen.</w:t>
      </w:r>
    </w:p>
    <w:p>
      <w:pPr>
        <w:numPr>
          <w:ilvl w:val="0"/>
          <w:numId w:val="10"/>
        </w:numPr>
      </w:pPr>
      <w:r>
        <w:rPr>
          <w:rFonts w:ascii="Calibri" w:hAnsi="Calibri"/>
          <w:b w:val="0"/>
          <w:color w:val="17202A"/>
          <w:sz w:val="22"/>
        </w:rPr>
        <w:t>Describir las dos conexiones TLS de una petición proxificada.</w:t>
      </w:r>
    </w:p>
    <w:p>
      <w:pPr>
        <w:numPr>
          <w:ilvl w:val="0"/>
          <w:numId w:val="10"/>
        </w:numPr>
      </w:pPr>
      <w:r>
        <w:rPr>
          <w:rFonts w:ascii="Calibri" w:hAnsi="Calibri"/>
          <w:b w:val="0"/>
          <w:color w:val="17202A"/>
          <w:sz w:val="22"/>
        </w:rPr>
        <w:t>Explicar qué cambia cuando un registro está Proxied o DNS only.</w:t>
      </w:r>
    </w:p>
    <w:p>
      <w:pPr>
        <w:numPr>
          <w:ilvl w:val="0"/>
          <w:numId w:val="10"/>
        </w:numPr>
      </w:pPr>
      <w:r>
        <w:rPr>
          <w:rFonts w:ascii="Calibri" w:hAnsi="Calibri"/>
          <w:b w:val="0"/>
          <w:color w:val="17202A"/>
          <w:sz w:val="22"/>
        </w:rPr>
        <w:t>Identificar qué información ve el origen y dónde aparece la IP real del cliente.</w:t>
      </w:r>
    </w:p>
    <w:p>
      <w:pPr>
        <w:pStyle w:val="Heading2"/>
      </w:pPr>
      <w:r>
        <w:rPr>
          <w:rFonts w:ascii="Calibri" w:hAnsi="Calibri"/>
          <w:b/>
          <w:color w:val="2E74B5"/>
          <w:sz w:val="26"/>
        </w:rPr>
        <w:t>1.1. Las piezas básicas</w:t>
      </w:r>
    </w:p>
    <w:p>
      <w:pPr>
        <w:pStyle w:val="Heading3"/>
      </w:pPr>
      <w:r>
        <w:rPr>
          <w:rFonts w:ascii="Calibri" w:hAnsi="Calibri"/>
          <w:b/>
          <w:color w:val="1F4D78"/>
          <w:sz w:val="24"/>
        </w:rPr>
        <w:t>DNS</w:t>
      </w:r>
    </w:p>
    <w:p>
      <w:r>
        <w:rPr>
          <w:rFonts w:ascii="Calibri" w:hAnsi="Calibri"/>
          <w:b w:val="0"/>
          <w:color w:val="17202A"/>
          <w:sz w:val="22"/>
        </w:rPr>
        <w:t xml:space="preserve">DNS traduce un nombre como </w:t>
      </w:r>
      <w:r>
        <w:rPr>
          <w:rFonts w:ascii="Courier New" w:hAnsi="Courier New"/>
          <w:color w:val="1F4D78"/>
          <w:sz w:val="21"/>
          <w:shd w:fill="EEF2F6"/>
        </w:rPr>
        <w:t>www.ejemplo.pt</w:t>
      </w:r>
      <w:r>
        <w:rPr>
          <w:rFonts w:ascii="Calibri" w:hAnsi="Calibri"/>
          <w:b w:val="0"/>
          <w:color w:val="17202A"/>
          <w:sz w:val="22"/>
        </w:rPr>
        <w:t xml:space="preserve"> a la dirección que debe recibir el tráfico. El proveedor autoritativo mantiene la zona y responde por sus registros. Usar Cloudflare como proxy no obliga necesariamente a sustituir Azure DNS: en Business existe la configuración CNAME parcial, que permite conservar el DNS autoritativo y enviar determinados hostnames a Cloudflare.</w:t>
      </w:r>
    </w:p>
    <w:p>
      <w:pPr>
        <w:pStyle w:val="Heading3"/>
      </w:pPr>
      <w:r>
        <w:rPr>
          <w:rFonts w:ascii="Calibri" w:hAnsi="Calibri"/>
          <w:b/>
          <w:color w:val="1F4D78"/>
          <w:sz w:val="24"/>
        </w:rPr>
        <w:t>Proxy inverso</w:t>
      </w:r>
    </w:p>
    <w:p>
      <w:r>
        <w:rPr>
          <w:rFonts w:ascii="Calibri" w:hAnsi="Calibri"/>
          <w:b w:val="0"/>
          <w:color w:val="17202A"/>
          <w:sz w:val="22"/>
        </w:rPr>
        <w:t>Un proxy inverso recibe la petición antes que la aplicación. Puede contestar por sí mismo —por ejemplo desde caché o con un bloqueo— o reenviarla al origen. Tanto Azure Front Door como Cloudflare actúan como proxy inverso para tráfico HTTP/HTTPS.</w:t>
      </w:r>
    </w:p>
    <w:p>
      <w:pPr>
        <w:pStyle w:val="Heading3"/>
      </w:pPr>
      <w:r>
        <w:rPr>
          <w:rFonts w:ascii="Calibri" w:hAnsi="Calibri"/>
          <w:b/>
          <w:color w:val="1F4D78"/>
          <w:sz w:val="24"/>
        </w:rPr>
        <w:t>CDN</w:t>
      </w:r>
    </w:p>
    <w:p>
      <w:r>
        <w:rPr>
          <w:rFonts w:ascii="Calibri" w:hAnsi="Calibri"/>
          <w:b w:val="0"/>
          <w:color w:val="17202A"/>
          <w:sz w:val="22"/>
        </w:rPr>
        <w:t>Una CDN distribuye capacidad en puntos de presencia cercanos a los usuarios. Si una respuesta está cacheada, el PoP puede contestar sin consultar SAP Commerce. Si no está cacheada, el proxy busca la respuesta en una capa superior o en el origen según la topología configurada.</w:t>
      </w:r>
    </w:p>
    <w:p>
      <w:pPr>
        <w:pStyle w:val="Heading3"/>
      </w:pPr>
      <w:r>
        <w:rPr>
          <w:rFonts w:ascii="Calibri" w:hAnsi="Calibri"/>
          <w:b/>
          <w:color w:val="1F4D78"/>
          <w:sz w:val="24"/>
        </w:rPr>
        <w:t>Edge y origen</w:t>
      </w:r>
    </w:p>
    <w:p>
      <w:r>
        <w:rPr>
          <w:rFonts w:ascii="Calibri" w:hAnsi="Calibri"/>
          <w:b w:val="0"/>
          <w:color w:val="17202A"/>
          <w:sz w:val="22"/>
        </w:rPr>
        <w:t>El edge es la capa de borde donde Cloudflare recibe y procesa la petición. El origen es el sistema que genera la respuesta cuando Cloudflare no puede resolverla por sí mismo. En el caso estudiado hay varios orígenes lógicos: storefront SAP, API SAP y blog a través de Application Gateway.</w:t>
      </w:r>
    </w:p>
    <w:p>
      <w:pPr>
        <w:pStyle w:val="Heading2"/>
      </w:pPr>
      <w:r>
        <w:rPr>
          <w:rFonts w:ascii="Calibri" w:hAnsi="Calibri"/>
          <w:b/>
          <w:color w:val="2E74B5"/>
          <w:sz w:val="26"/>
        </w:rPr>
        <w:t>1.2. Recorrido de una petición</w:t>
      </w:r>
    </w:p>
    <w:p>
      <w:pPr>
        <w:spacing w:before="120" w:after="160"/>
        <w:jc w:val="center"/>
      </w:pPr>
      <w:r>
        <w:drawing>
          <wp:inline xmlns:a="http://schemas.openxmlformats.org/drawingml/2006/main" xmlns:pic="http://schemas.openxmlformats.org/drawingml/2006/picture">
            <wp:extent cx="5806440" cy="2709672"/>
            <wp:docPr id="2" name="Picture 2" descr="request pipeline" title="request pipeline"/>
            <wp:cNvGraphicFramePr>
              <a:graphicFrameLocks noChangeAspect="1"/>
            </wp:cNvGraphicFramePr>
            <a:graphic>
              <a:graphicData uri="http://schemas.openxmlformats.org/drawingml/2006/picture">
                <pic:pic>
                  <pic:nvPicPr>
                    <pic:cNvPr id="0" name="request-pipeline.png"/>
                    <pic:cNvPicPr/>
                  </pic:nvPicPr>
                  <pic:blipFill>
                    <a:blip r:embed="rId12"/>
                    <a:stretch>
                      <a:fillRect/>
                    </a:stretch>
                  </pic:blipFill>
                  <pic:spPr>
                    <a:xfrm>
                      <a:off x="0" y="0"/>
                      <a:ext cx="5806440" cy="2709672"/>
                    </a:xfrm>
                    <a:prstGeom prst="rect"/>
                  </pic:spPr>
                </pic:pic>
              </a:graphicData>
            </a:graphic>
          </wp:inline>
        </w:drawing>
      </w:r>
    </w:p>
    <w:p>
      <w:pPr>
        <w:numPr>
          <w:ilvl w:val="0"/>
          <w:numId w:val="13"/>
        </w:numPr>
      </w:pPr>
      <w:r>
        <w:rPr>
          <w:rFonts w:ascii="Calibri" w:hAnsi="Calibri"/>
          <w:b w:val="0"/>
          <w:color w:val="17202A"/>
          <w:sz w:val="22"/>
        </w:rPr>
        <w:t>El navegador resuelve el hostname por DNS.</w:t>
      </w:r>
    </w:p>
    <w:p>
      <w:pPr>
        <w:numPr>
          <w:ilvl w:val="0"/>
          <w:numId w:val="13"/>
        </w:numPr>
      </w:pPr>
      <w:r>
        <w:rPr>
          <w:rFonts w:ascii="Calibri" w:hAnsi="Calibri"/>
          <w:b w:val="0"/>
          <w:color w:val="17202A"/>
          <w:sz w:val="22"/>
        </w:rPr>
        <w:t>DNS devuelve una dirección de Cloudflare para un registro proxificado.</w:t>
      </w:r>
    </w:p>
    <w:p>
      <w:pPr>
        <w:numPr>
          <w:ilvl w:val="0"/>
          <w:numId w:val="13"/>
        </w:numPr>
      </w:pPr>
      <w:r>
        <w:rPr>
          <w:rFonts w:ascii="Calibri" w:hAnsi="Calibri"/>
          <w:b w:val="0"/>
          <w:color w:val="17202A"/>
          <w:sz w:val="22"/>
        </w:rPr>
        <w:t>El navegador negocia TLS con Cloudflare.</w:t>
      </w:r>
    </w:p>
    <w:p>
      <w:pPr>
        <w:numPr>
          <w:ilvl w:val="0"/>
          <w:numId w:val="13"/>
        </w:numPr>
      </w:pPr>
      <w:r>
        <w:rPr>
          <w:rFonts w:ascii="Calibri" w:hAnsi="Calibri"/>
          <w:b w:val="0"/>
          <w:color w:val="17202A"/>
          <w:sz w:val="22"/>
        </w:rPr>
        <w:t>Cloudflare aplica DDoS, reglas personalizadas, bots, rate limiting y WAF en su orden correspondiente.</w:t>
      </w:r>
    </w:p>
    <w:p>
      <w:pPr>
        <w:numPr>
          <w:ilvl w:val="0"/>
          <w:numId w:val="13"/>
        </w:numPr>
      </w:pPr>
      <w:r>
        <w:rPr>
          <w:rFonts w:ascii="Calibri" w:hAnsi="Calibri"/>
          <w:b w:val="0"/>
          <w:color w:val="17202A"/>
          <w:sz w:val="22"/>
        </w:rPr>
        <w:t>Cloudflare evalúa reglas de redirección, transformación, origen y caché.</w:t>
      </w:r>
    </w:p>
    <w:p>
      <w:pPr>
        <w:numPr>
          <w:ilvl w:val="0"/>
          <w:numId w:val="13"/>
        </w:numPr>
      </w:pPr>
      <w:r>
        <w:rPr>
          <w:rFonts w:ascii="Calibri" w:hAnsi="Calibri"/>
          <w:b w:val="0"/>
          <w:color w:val="17202A"/>
          <w:sz w:val="22"/>
        </w:rPr>
        <w:t>Si existe una respuesta fresca en caché, responde desde el edge.</w:t>
      </w:r>
    </w:p>
    <w:p>
      <w:pPr>
        <w:numPr>
          <w:ilvl w:val="0"/>
          <w:numId w:val="13"/>
        </w:numPr>
      </w:pPr>
      <w:r>
        <w:rPr>
          <w:rFonts w:ascii="Calibri" w:hAnsi="Calibri"/>
          <w:b w:val="0"/>
          <w:color w:val="17202A"/>
          <w:sz w:val="22"/>
        </w:rPr>
        <w:t>Si no existe, busca en Tiered Cache si está habilitado.</w:t>
      </w:r>
    </w:p>
    <w:p>
      <w:pPr>
        <w:numPr>
          <w:ilvl w:val="0"/>
          <w:numId w:val="13"/>
        </w:numPr>
      </w:pPr>
      <w:r>
        <w:rPr>
          <w:rFonts w:ascii="Calibri" w:hAnsi="Calibri"/>
          <w:b w:val="0"/>
          <w:color w:val="17202A"/>
          <w:sz w:val="22"/>
        </w:rPr>
        <w:t>Si tampoco está allí, abre otra conexión TLS con el origen adecuado.</w:t>
      </w:r>
    </w:p>
    <w:p>
      <w:pPr>
        <w:numPr>
          <w:ilvl w:val="0"/>
          <w:numId w:val="13"/>
        </w:numPr>
      </w:pPr>
      <w:r>
        <w:rPr>
          <w:rFonts w:ascii="Calibri" w:hAnsi="Calibri"/>
          <w:b w:val="0"/>
          <w:color w:val="17202A"/>
          <w:sz w:val="22"/>
        </w:rPr>
        <w:t>El origen responde y Cloudflare decide si puede almacenar la respuesta.</w:t>
      </w:r>
    </w:p>
    <w:p>
      <w:pPr>
        <w:numPr>
          <w:ilvl w:val="0"/>
          <w:numId w:val="13"/>
        </w:numPr>
      </w:pPr>
      <w:r>
        <w:rPr>
          <w:rFonts w:ascii="Calibri" w:hAnsi="Calibri"/>
          <w:b w:val="0"/>
          <w:color w:val="17202A"/>
          <w:sz w:val="22"/>
        </w:rPr>
        <w:t>Cloudflare devuelve la respuesta al usuario.</w:t>
      </w:r>
    </w:p>
    <w:p>
      <w:pPr>
        <w:pStyle w:val="Heading2"/>
      </w:pPr>
      <w:r>
        <w:rPr>
          <w:rFonts w:ascii="Calibri" w:hAnsi="Calibri"/>
          <w:b/>
          <w:color w:val="2E74B5"/>
          <w:sz w:val="26"/>
        </w:rPr>
        <w:t>1.3. Las dos conexiones TLS</w:t>
      </w:r>
    </w:p>
    <w:p>
      <w:r>
        <w:rPr>
          <w:rFonts w:ascii="Calibri" w:hAnsi="Calibri"/>
          <w:b w:val="0"/>
          <w:color w:val="17202A"/>
          <w:sz w:val="22"/>
        </w:rPr>
        <w:t>En una arquitectura proxificada hay dos tramos independientes:</w:t>
      </w:r>
    </w:p>
    <w:p>
      <w:pPr>
        <w:numPr>
          <w:ilvl w:val="0"/>
          <w:numId w:val="10"/>
        </w:numPr>
      </w:pPr>
      <w:r>
        <w:rPr>
          <w:rFonts w:ascii="Calibri" w:hAnsi="Calibri"/>
          <w:b w:val="0"/>
          <w:color w:val="17202A"/>
          <w:sz w:val="22"/>
        </w:rPr>
        <w:t>Visitante → Cloudflare.</w:t>
      </w:r>
    </w:p>
    <w:p>
      <w:pPr>
        <w:numPr>
          <w:ilvl w:val="0"/>
          <w:numId w:val="10"/>
        </w:numPr>
      </w:pPr>
      <w:r>
        <w:rPr>
          <w:rFonts w:ascii="Calibri" w:hAnsi="Calibri"/>
          <w:b w:val="0"/>
          <w:color w:val="17202A"/>
          <w:sz w:val="22"/>
        </w:rPr>
        <w:t>Cloudflare → origen.</w:t>
      </w:r>
    </w:p>
    <w:p>
      <w:r>
        <w:rPr>
          <w:rFonts w:ascii="Calibri" w:hAnsi="Calibri"/>
          <w:b w:val="0"/>
          <w:color w:val="17202A"/>
          <w:sz w:val="22"/>
        </w:rPr>
        <w:t>Que el primer tramo sea HTTPS no garantiza por sí mismo que el segundo esté bien validado. La configuración recomendada es cifrado estricto de extremo a extremo, con un certificado válido en el origen y comprobación del nombre esperado.</w:t>
      </w:r>
    </w:p>
    <w:p>
      <w:r>
        <w:rPr>
          <w:rFonts w:ascii="Calibri" w:hAnsi="Calibri"/>
          <w:b w:val="0"/>
          <w:color w:val="17202A"/>
          <w:sz w:val="22"/>
        </w:rPr>
        <w:t>Para migrar hay que conocer tres valores por origen:</w:t>
      </w:r>
    </w:p>
    <w:p>
      <w:pPr>
        <w:numPr>
          <w:ilvl w:val="0"/>
          <w:numId w:val="10"/>
        </w:numPr>
      </w:pPr>
      <w:r>
        <w:rPr>
          <w:rFonts w:ascii="Calibri" w:hAnsi="Calibri"/>
          <w:b w:val="0"/>
          <w:color w:val="17202A"/>
          <w:sz w:val="22"/>
        </w:rPr>
        <w:t>Hostname que Cloudflare debe resolver.</w:t>
      </w:r>
    </w:p>
    <w:p>
      <w:pPr>
        <w:numPr>
          <w:ilvl w:val="0"/>
          <w:numId w:val="10"/>
        </w:numPr>
      </w:pPr>
      <w:r>
        <w:rPr>
          <w:rFonts w:ascii="Calibri" w:hAnsi="Calibri"/>
          <w:b w:val="0"/>
          <w:color w:val="17202A"/>
          <w:sz w:val="22"/>
        </w:rPr>
        <w:t xml:space="preserve">Cabecera </w:t>
      </w:r>
      <w:r>
        <w:rPr>
          <w:rFonts w:ascii="Courier New" w:hAnsi="Courier New"/>
          <w:color w:val="1F4D78"/>
          <w:sz w:val="21"/>
          <w:shd w:fill="EEF2F6"/>
        </w:rPr>
        <w:t>Host</w:t>
      </w:r>
      <w:r>
        <w:rPr>
          <w:rFonts w:ascii="Calibri" w:hAnsi="Calibri"/>
          <w:b w:val="0"/>
          <w:color w:val="17202A"/>
          <w:sz w:val="22"/>
        </w:rPr>
        <w:t xml:space="preserve"> que espera la aplicación.</w:t>
      </w:r>
    </w:p>
    <w:p>
      <w:pPr>
        <w:numPr>
          <w:ilvl w:val="0"/>
          <w:numId w:val="10"/>
        </w:numPr>
      </w:pPr>
      <w:r>
        <w:rPr>
          <w:rFonts w:ascii="Calibri" w:hAnsi="Calibri"/>
          <w:b w:val="0"/>
          <w:color w:val="17202A"/>
          <w:sz w:val="22"/>
        </w:rPr>
        <w:t>Nombre SNI que debe enviarse durante el handshake TLS.</w:t>
      </w:r>
    </w:p>
    <w:p>
      <w:r>
        <w:rPr>
          <w:rFonts w:ascii="Calibri" w:hAnsi="Calibri"/>
          <w:b w:val="0"/>
          <w:color w:val="17202A"/>
          <w:sz w:val="22"/>
        </w:rPr>
        <w:t>Este punto es especialmente importante porque Azure Front Door permite configurar una cabecera Host de origen. Cloudflare Business no permite sobrescribir Host, SNI o destino DNS mediante Origin Rules del mismo modo que Enterprise. Si SAP ya acepta el hostname público, no tiene por qué ser un problema; si AFD realiza una traducción, debe diseñarse una alternativa.</w:t>
      </w:r>
    </w:p>
    <w:p>
      <w:pPr>
        <w:pStyle w:val="Heading2"/>
      </w:pPr>
      <w:r>
        <w:rPr>
          <w:rFonts w:ascii="Calibri" w:hAnsi="Calibri"/>
          <w:b/>
          <w:color w:val="2E74B5"/>
          <w:sz w:val="26"/>
        </w:rPr>
        <w:t>1.4. Proxied y DNS only</w:t>
      </w:r>
    </w:p>
    <w:p>
      <w:r>
        <w:rPr>
          <w:rFonts w:ascii="Calibri" w:hAnsi="Calibri"/>
          <w:b w:val="0"/>
          <w:color w:val="17202A"/>
          <w:sz w:val="22"/>
        </w:rPr>
        <w:t>Un registro Proxied —nube naranja— hace pasar HTTP/HTTPS por Cloudflare. Se aplican CDN, WAF, DDoS y reglas. El usuario ve direcciones anycast de Cloudflare.</w:t>
      </w:r>
    </w:p>
    <w:p>
      <w:r>
        <w:rPr>
          <w:rFonts w:ascii="Calibri" w:hAnsi="Calibri"/>
          <w:b w:val="0"/>
          <w:color w:val="17202A"/>
          <w:sz w:val="22"/>
        </w:rPr>
        <w:t>Un registro DNS only —nube gris— solo usa la resolución DNS. El usuario conecta directamente con el destino y las protecciones de proxy no se aplican.</w:t>
      </w:r>
    </w:p>
    <w:p>
      <w:r>
        <w:rPr>
          <w:rFonts w:ascii="Calibri" w:hAnsi="Calibri"/>
          <w:b w:val="0"/>
          <w:color w:val="17202A"/>
          <w:sz w:val="22"/>
        </w:rPr>
        <w:t>No deben proxificarse indiscriminadamente registros de correo, verificaciones, DKIM o servicios que dependan de ver la IP real del destino. En una zona completa, el inventario DNS es un paso obligatorio.</w:t>
      </w:r>
    </w:p>
    <w:p>
      <w:pPr>
        <w:pStyle w:val="Heading2"/>
      </w:pPr>
      <w:r>
        <w:rPr>
          <w:rFonts w:ascii="Calibri" w:hAnsi="Calibri"/>
          <w:b/>
          <w:color w:val="2E74B5"/>
          <w:sz w:val="26"/>
        </w:rPr>
        <w:t>1.5. IP real del visitante</w:t>
      </w:r>
    </w:p>
    <w:p>
      <w:r>
        <w:rPr>
          <w:rFonts w:ascii="Calibri" w:hAnsi="Calibri"/>
          <w:b w:val="0"/>
          <w:color w:val="17202A"/>
          <w:sz w:val="22"/>
        </w:rPr>
        <w:t xml:space="preserve">El origen verá conexiones procedentes de rangos IP de Cloudflare. La IP original se comunica normalmente mediante </w:t>
      </w:r>
      <w:r>
        <w:rPr>
          <w:rFonts w:ascii="Courier New" w:hAnsi="Courier New"/>
          <w:color w:val="1F4D78"/>
          <w:sz w:val="21"/>
          <w:shd w:fill="EEF2F6"/>
        </w:rPr>
        <w:t>CF-Connecting-IP</w:t>
      </w:r>
      <w:r>
        <w:rPr>
          <w:rFonts w:ascii="Calibri" w:hAnsi="Calibri"/>
          <w:b w:val="0"/>
          <w:color w:val="17202A"/>
          <w:sz w:val="22"/>
        </w:rPr>
        <w:t xml:space="preserve"> y también forma parte de </w:t>
      </w:r>
      <w:r>
        <w:rPr>
          <w:rFonts w:ascii="Courier New" w:hAnsi="Courier New"/>
          <w:color w:val="1F4D78"/>
          <w:sz w:val="21"/>
          <w:shd w:fill="EEF2F6"/>
        </w:rPr>
        <w:t>X-Forwarded-For</w:t>
      </w:r>
      <w:r>
        <w:rPr>
          <w:rFonts w:ascii="Calibri" w:hAnsi="Calibri"/>
          <w:b w:val="0"/>
          <w:color w:val="17202A"/>
          <w:sz w:val="22"/>
        </w:rPr>
        <w:t>. El origen solo debe confiar en esas cabeceras cuando la conexión procede realmente de Cloudflare; de lo contrario un atacante podría falsificarlas.</w:t>
      </w:r>
    </w:p>
    <w:p>
      <w:r>
        <w:rPr>
          <w:rFonts w:ascii="Calibri" w:hAnsi="Calibri"/>
          <w:b w:val="0"/>
          <w:color w:val="17202A"/>
          <w:sz w:val="22"/>
        </w:rPr>
        <w:t>En SAP Commerce, Application Gateway, nginx y herramientas de fraude o logs debe revisarse:</w:t>
      </w:r>
    </w:p>
    <w:p>
      <w:pPr>
        <w:numPr>
          <w:ilvl w:val="0"/>
          <w:numId w:val="10"/>
        </w:numPr>
      </w:pPr>
      <w:r>
        <w:rPr>
          <w:rFonts w:ascii="Calibri" w:hAnsi="Calibri"/>
          <w:b w:val="0"/>
          <w:color w:val="17202A"/>
          <w:sz w:val="22"/>
        </w:rPr>
        <w:t>Qué cabecera se usa para identificar al cliente.</w:t>
      </w:r>
    </w:p>
    <w:p>
      <w:pPr>
        <w:numPr>
          <w:ilvl w:val="0"/>
          <w:numId w:val="10"/>
        </w:numPr>
      </w:pPr>
      <w:r>
        <w:rPr>
          <w:rFonts w:ascii="Calibri" w:hAnsi="Calibri"/>
          <w:b w:val="0"/>
          <w:color w:val="17202A"/>
          <w:sz w:val="22"/>
        </w:rPr>
        <w:t>Qué proxies se consideran de confianza.</w:t>
      </w:r>
    </w:p>
    <w:p>
      <w:pPr>
        <w:numPr>
          <w:ilvl w:val="0"/>
          <w:numId w:val="10"/>
        </w:numPr>
      </w:pPr>
      <w:r>
        <w:rPr>
          <w:rFonts w:ascii="Calibri" w:hAnsi="Calibri"/>
          <w:b w:val="0"/>
          <w:color w:val="17202A"/>
          <w:sz w:val="22"/>
        </w:rPr>
        <w:t>Si el rate limiting del origen podría agrupar a todos los usuarios bajo una IP de Cloudflare.</w:t>
      </w:r>
    </w:p>
    <w:p>
      <w:pPr>
        <w:numPr>
          <w:ilvl w:val="0"/>
          <w:numId w:val="10"/>
        </w:numPr>
      </w:pPr>
      <w:r>
        <w:rPr>
          <w:rFonts w:ascii="Calibri" w:hAnsi="Calibri"/>
          <w:b w:val="0"/>
          <w:color w:val="17202A"/>
          <w:sz w:val="22"/>
        </w:rPr>
        <w:t>Si los logs preservan una cadena interpretable de proxies.</w:t>
      </w:r>
    </w:p>
    <w:p>
      <w:pPr>
        <w:pStyle w:val="Heading2"/>
      </w:pPr>
      <w:r>
        <w:rPr>
          <w:rFonts w:ascii="Calibri" w:hAnsi="Calibri"/>
          <w:b/>
          <w:color w:val="2E74B5"/>
          <w:sz w:val="26"/>
        </w:rPr>
        <w:t>Comprobación del módulo</w:t>
      </w:r>
    </w:p>
    <w:p>
      <w:pPr>
        <w:numPr>
          <w:ilvl w:val="0"/>
          <w:numId w:val="14"/>
        </w:numPr>
      </w:pPr>
      <w:r>
        <w:rPr>
          <w:rFonts w:ascii="Calibri" w:hAnsi="Calibri"/>
          <w:b w:val="0"/>
          <w:color w:val="17202A"/>
          <w:sz w:val="22"/>
        </w:rPr>
        <w:t>¿Qué diferencia existe entre que Cloudflare responda por DNS y que proxifique tráfico?</w:t>
      </w:r>
    </w:p>
    <w:p>
      <w:pPr>
        <w:numPr>
          <w:ilvl w:val="0"/>
          <w:numId w:val="14"/>
        </w:numPr>
      </w:pPr>
      <w:r>
        <w:rPr>
          <w:rFonts w:ascii="Calibri" w:hAnsi="Calibri"/>
          <w:b w:val="0"/>
          <w:color w:val="17202A"/>
          <w:sz w:val="22"/>
        </w:rPr>
        <w:t>¿Por qué hay dos certificados o, al menos, dos negociaciones TLS?</w:t>
      </w:r>
    </w:p>
    <w:p>
      <w:pPr>
        <w:numPr>
          <w:ilvl w:val="0"/>
          <w:numId w:val="14"/>
        </w:numPr>
      </w:pPr>
      <w:r>
        <w:rPr>
          <w:rFonts w:ascii="Calibri" w:hAnsi="Calibri"/>
          <w:b w:val="0"/>
          <w:color w:val="17202A"/>
          <w:sz w:val="22"/>
        </w:rPr>
        <w:t>¿En qué cabecera buscarías la IP original del visitante?</w:t>
      </w:r>
    </w:p>
    <w:p>
      <w:pPr>
        <w:numPr>
          <w:ilvl w:val="0"/>
          <w:numId w:val="14"/>
        </w:numPr>
      </w:pPr>
      <w:r>
        <w:rPr>
          <w:rFonts w:ascii="Calibri" w:hAnsi="Calibri"/>
          <w:b w:val="0"/>
          <w:color w:val="17202A"/>
          <w:sz w:val="22"/>
        </w:rPr>
        <w:t>¿Qué tres valores deben revisarse para conectar correctamente con un origen SaaS?</w:t>
      </w:r>
    </w:p>
    <w:p>
      <w:pPr>
        <w:pStyle w:val="Heading1"/>
      </w:pPr>
      <w:r>
        <w:rPr>
          <w:rFonts w:ascii="Calibri" w:hAnsi="Calibri"/>
          <w:b/>
          <w:color w:val="2E74B5"/>
          <w:sz w:val="32"/>
        </w:rPr>
        <w:t>Módulo 2. DNS, zonas y entrada gradual</w:t>
      </w:r>
    </w:p>
    <w:p>
      <w:pPr>
        <w:pStyle w:val="Heading2"/>
      </w:pPr>
      <w:r>
        <w:rPr>
          <w:rFonts w:ascii="Calibri" w:hAnsi="Calibri"/>
          <w:b/>
          <w:color w:val="2E74B5"/>
          <w:sz w:val="26"/>
        </w:rPr>
        <w:t>Objetivos</w:t>
      </w:r>
    </w:p>
    <w:p>
      <w:pPr>
        <w:numPr>
          <w:ilvl w:val="0"/>
          <w:numId w:val="10"/>
        </w:numPr>
      </w:pPr>
      <w:r>
        <w:rPr>
          <w:rFonts w:ascii="Calibri" w:hAnsi="Calibri"/>
          <w:b w:val="0"/>
          <w:color w:val="17202A"/>
          <w:sz w:val="22"/>
        </w:rPr>
        <w:t>Entender cuentas, zonas y hostnames.</w:t>
      </w:r>
    </w:p>
    <w:p>
      <w:pPr>
        <w:numPr>
          <w:ilvl w:val="0"/>
          <w:numId w:val="10"/>
        </w:numPr>
      </w:pPr>
      <w:r>
        <w:rPr>
          <w:rFonts w:ascii="Calibri" w:hAnsi="Calibri"/>
          <w:b w:val="0"/>
          <w:color w:val="17202A"/>
          <w:sz w:val="22"/>
        </w:rPr>
        <w:t>Comparar zona completa y configuración CNAME parcial.</w:t>
      </w:r>
    </w:p>
    <w:p>
      <w:pPr>
        <w:numPr>
          <w:ilvl w:val="0"/>
          <w:numId w:val="10"/>
        </w:numPr>
      </w:pPr>
      <w:r>
        <w:rPr>
          <w:rFonts w:ascii="Calibri" w:hAnsi="Calibri"/>
          <w:b w:val="0"/>
          <w:color w:val="17202A"/>
          <w:sz w:val="22"/>
        </w:rPr>
        <w:t>Diseñar una entrada gradual conservando Azure DNS.</w:t>
      </w:r>
    </w:p>
    <w:p>
      <w:pPr>
        <w:numPr>
          <w:ilvl w:val="0"/>
          <w:numId w:val="10"/>
        </w:numPr>
      </w:pPr>
      <w:r>
        <w:rPr>
          <w:rFonts w:ascii="Calibri" w:hAnsi="Calibri"/>
          <w:b w:val="0"/>
          <w:color w:val="17202A"/>
          <w:sz w:val="22"/>
        </w:rPr>
        <w:t>Comprender certificados, dominio apex, CAA y propagación.</w:t>
      </w:r>
    </w:p>
    <w:p>
      <w:pPr>
        <w:pStyle w:val="Heading2"/>
      </w:pPr>
      <w:r>
        <w:rPr>
          <w:rFonts w:ascii="Calibri" w:hAnsi="Calibri"/>
          <w:b/>
          <w:color w:val="2E74B5"/>
          <w:sz w:val="26"/>
        </w:rPr>
        <w:t>2.1. Cuenta, zona y hostname</w:t>
      </w:r>
    </w:p>
    <w:p>
      <w:r>
        <w:rPr>
          <w:rFonts w:ascii="Calibri" w:hAnsi="Calibri"/>
          <w:b w:val="0"/>
          <w:color w:val="17202A"/>
          <w:sz w:val="22"/>
        </w:rPr>
        <w:t xml:space="preserve">Una cuenta de Cloudflare contiene miembros, permisos, facturación y una o más zonas. Una zona suele corresponder a un dominio raíz, por ejemplo </w:t>
      </w:r>
      <w:r>
        <w:rPr>
          <w:rFonts w:ascii="Courier New" w:hAnsi="Courier New"/>
          <w:color w:val="1F4D78"/>
          <w:sz w:val="21"/>
          <w:shd w:fill="EEF2F6"/>
        </w:rPr>
        <w:t>ejemplo.pt</w:t>
      </w:r>
      <w:r>
        <w:rPr>
          <w:rFonts w:ascii="Calibri" w:hAnsi="Calibri"/>
          <w:b w:val="0"/>
          <w:color w:val="17202A"/>
          <w:sz w:val="22"/>
        </w:rPr>
        <w:t>. Sus subdominios pertenecen a esa zona y no generan otra licencia Business. La configuración de caché, WAF y reglas se aplica habitualmente a nivel de zona, aunque puede filtrar por hostname y ruta.</w:t>
      </w:r>
    </w:p>
    <w:p>
      <w:pPr>
        <w:pStyle w:val="Heading2"/>
      </w:pPr>
      <w:r>
        <w:rPr>
          <w:rFonts w:ascii="Calibri" w:hAnsi="Calibri"/>
          <w:b/>
          <w:color w:val="2E74B5"/>
          <w:sz w:val="26"/>
        </w:rPr>
        <w:t>2.2. Dos formas de incorporar el dominio</w:t>
      </w:r>
    </w:p>
    <w:p>
      <w:pPr>
        <w:pStyle w:val="Heading3"/>
      </w:pPr>
      <w:r>
        <w:rPr>
          <w:rFonts w:ascii="Calibri" w:hAnsi="Calibri"/>
          <w:b/>
          <w:color w:val="1F4D78"/>
          <w:sz w:val="24"/>
        </w:rPr>
        <w:t>Zona completa</w:t>
      </w:r>
    </w:p>
    <w:p>
      <w:r>
        <w:rPr>
          <w:rFonts w:ascii="Calibri" w:hAnsi="Calibri"/>
          <w:b w:val="0"/>
          <w:color w:val="17202A"/>
          <w:sz w:val="22"/>
        </w:rPr>
        <w:t>Cloudflare se convierte en DNS autoritativo. Se cambian los nameservers en el registrador y se replica toda la zona: web, correo, delegaciones, verificaciones, CAA, etc.</w:t>
      </w:r>
    </w:p>
    <w:p>
      <w:r>
        <w:rPr>
          <w:rFonts w:ascii="Calibri" w:hAnsi="Calibri"/>
          <w:b w:val="0"/>
          <w:color w:val="17202A"/>
          <w:sz w:val="22"/>
        </w:rPr>
        <w:t>Ventajas:</w:t>
      </w:r>
    </w:p>
    <w:p>
      <w:pPr>
        <w:numPr>
          <w:ilvl w:val="0"/>
          <w:numId w:val="10"/>
        </w:numPr>
      </w:pPr>
      <w:r>
        <w:rPr>
          <w:rFonts w:ascii="Calibri" w:hAnsi="Calibri"/>
          <w:b w:val="0"/>
          <w:color w:val="17202A"/>
          <w:sz w:val="22"/>
        </w:rPr>
        <w:t>Experiencia Cloudflare completa.</w:t>
      </w:r>
    </w:p>
    <w:p>
      <w:pPr>
        <w:numPr>
          <w:ilvl w:val="0"/>
          <w:numId w:val="10"/>
        </w:numPr>
      </w:pPr>
      <w:r>
        <w:rPr>
          <w:rFonts w:ascii="Calibri" w:hAnsi="Calibri"/>
          <w:b w:val="0"/>
          <w:color w:val="17202A"/>
          <w:sz w:val="22"/>
        </w:rPr>
        <w:t>Protección también sobre la infraestructura DNS autoritativa.</w:t>
      </w:r>
    </w:p>
    <w:p>
      <w:pPr>
        <w:numPr>
          <w:ilvl w:val="0"/>
          <w:numId w:val="10"/>
        </w:numPr>
      </w:pPr>
      <w:r>
        <w:rPr>
          <w:rFonts w:ascii="Calibri" w:hAnsi="Calibri"/>
          <w:b w:val="0"/>
          <w:color w:val="17202A"/>
          <w:sz w:val="22"/>
        </w:rPr>
        <w:t>CNAME flattening y gestión unificada.</w:t>
      </w:r>
    </w:p>
    <w:p>
      <w:r>
        <w:rPr>
          <w:rFonts w:ascii="Calibri" w:hAnsi="Calibri"/>
          <w:b w:val="0"/>
          <w:color w:val="17202A"/>
          <w:sz w:val="22"/>
        </w:rPr>
        <w:t>Riesgos:</w:t>
      </w:r>
    </w:p>
    <w:p>
      <w:pPr>
        <w:numPr>
          <w:ilvl w:val="0"/>
          <w:numId w:val="10"/>
        </w:numPr>
      </w:pPr>
      <w:r>
        <w:rPr>
          <w:rFonts w:ascii="Calibri" w:hAnsi="Calibri"/>
          <w:b w:val="0"/>
          <w:color w:val="17202A"/>
          <w:sz w:val="22"/>
        </w:rPr>
        <w:t>El alcance incluye todo el DNS, no solo la web.</w:t>
      </w:r>
    </w:p>
    <w:p>
      <w:pPr>
        <w:numPr>
          <w:ilvl w:val="0"/>
          <w:numId w:val="10"/>
        </w:numPr>
      </w:pPr>
      <w:r>
        <w:rPr>
          <w:rFonts w:ascii="Calibri" w:hAnsi="Calibri"/>
          <w:b w:val="0"/>
          <w:color w:val="17202A"/>
          <w:sz w:val="22"/>
        </w:rPr>
        <w:t>Un error en MX, SPF, DKIM, DMARC o delegaciones puede afectar servicios ajenos al ecommerce.</w:t>
      </w:r>
    </w:p>
    <w:p>
      <w:pPr>
        <w:numPr>
          <w:ilvl w:val="0"/>
          <w:numId w:val="10"/>
        </w:numPr>
      </w:pPr>
      <w:r>
        <w:rPr>
          <w:rFonts w:ascii="Calibri" w:hAnsi="Calibri"/>
          <w:b w:val="0"/>
          <w:color w:val="17202A"/>
          <w:sz w:val="22"/>
        </w:rPr>
        <w:t>Requiere coordinación con propietarios de correo, marketing y terceros.</w:t>
      </w:r>
    </w:p>
    <w:p>
      <w:pPr>
        <w:pStyle w:val="Heading3"/>
      </w:pPr>
      <w:r>
        <w:rPr>
          <w:rFonts w:ascii="Calibri" w:hAnsi="Calibri"/>
          <w:b/>
          <w:color w:val="1F4D78"/>
          <w:sz w:val="24"/>
        </w:rPr>
        <w:t>Configuración CNAME parcial</w:t>
      </w:r>
    </w:p>
    <w:p>
      <w:r>
        <w:rPr>
          <w:rFonts w:ascii="Calibri" w:hAnsi="Calibri"/>
          <w:b w:val="0"/>
          <w:color w:val="17202A"/>
          <w:sz w:val="22"/>
        </w:rPr>
        <w:t>Business y Enterprise permiten mantener Azure DNS como autoritativo. Solo los hostnames elegidos apuntan a un nombre facilitado por Cloudflare.</w:t>
      </w:r>
    </w:p>
    <w:p>
      <w:r>
        <w:rPr>
          <w:rFonts w:ascii="Calibri" w:hAnsi="Calibri"/>
          <w:b w:val="0"/>
          <w:color w:val="17202A"/>
          <w:sz w:val="22"/>
        </w:rPr>
        <w:t>Ventajas:</w:t>
      </w:r>
    </w:p>
    <w:p>
      <w:pPr>
        <w:numPr>
          <w:ilvl w:val="0"/>
          <w:numId w:val="10"/>
        </w:numPr>
      </w:pPr>
      <w:r>
        <w:rPr>
          <w:rFonts w:ascii="Calibri" w:hAnsi="Calibri"/>
          <w:b w:val="0"/>
          <w:color w:val="17202A"/>
          <w:sz w:val="22"/>
        </w:rPr>
        <w:t>Menor radio de impacto.</w:t>
      </w:r>
    </w:p>
    <w:p>
      <w:pPr>
        <w:numPr>
          <w:ilvl w:val="0"/>
          <w:numId w:val="10"/>
        </w:numPr>
      </w:pPr>
      <w:r>
        <w:rPr>
          <w:rFonts w:ascii="Calibri" w:hAnsi="Calibri"/>
          <w:b w:val="0"/>
          <w:color w:val="17202A"/>
          <w:sz w:val="22"/>
        </w:rPr>
        <w:t xml:space="preserve">Adecuado para un piloto sobre </w:t>
      </w:r>
      <w:r>
        <w:rPr>
          <w:rFonts w:ascii="Courier New" w:hAnsi="Courier New"/>
          <w:color w:val="1F4D78"/>
          <w:sz w:val="21"/>
          <w:shd w:fill="EEF2F6"/>
        </w:rPr>
        <w:t>www</w:t>
      </w:r>
      <w:r>
        <w:rPr>
          <w:rFonts w:ascii="Calibri" w:hAnsi="Calibri"/>
          <w:b w:val="0"/>
          <w:color w:val="17202A"/>
          <w:sz w:val="22"/>
        </w:rPr>
        <w:t xml:space="preserve"> o un hostname concreto.</w:t>
      </w:r>
    </w:p>
    <w:p>
      <w:pPr>
        <w:numPr>
          <w:ilvl w:val="0"/>
          <w:numId w:val="10"/>
        </w:numPr>
      </w:pPr>
      <w:r>
        <w:rPr>
          <w:rFonts w:ascii="Calibri" w:hAnsi="Calibri"/>
          <w:b w:val="0"/>
          <w:color w:val="17202A"/>
          <w:sz w:val="22"/>
        </w:rPr>
        <w:t>No obliga a migrar correo, delegaciones ni verificaciones.</w:t>
      </w:r>
    </w:p>
    <w:p>
      <w:r>
        <w:rPr>
          <w:rFonts w:ascii="Calibri" w:hAnsi="Calibri"/>
          <w:b w:val="0"/>
          <w:color w:val="17202A"/>
          <w:sz w:val="22"/>
        </w:rPr>
        <w:t>Limitaciones:</w:t>
      </w:r>
    </w:p>
    <w:p>
      <w:pPr>
        <w:numPr>
          <w:ilvl w:val="0"/>
          <w:numId w:val="10"/>
        </w:numPr>
      </w:pPr>
      <w:r>
        <w:rPr>
          <w:rFonts w:ascii="Calibri" w:hAnsi="Calibri"/>
          <w:b w:val="0"/>
          <w:color w:val="17202A"/>
          <w:sz w:val="22"/>
        </w:rPr>
        <w:t xml:space="preserve">El dominio apex necesita que el proveedor autoritativo soporte una técnica equivalente a CNAME flattening o una estrategia de redirección hacia </w:t>
      </w:r>
      <w:r>
        <w:rPr>
          <w:rFonts w:ascii="Courier New" w:hAnsi="Courier New"/>
          <w:color w:val="1F4D78"/>
          <w:sz w:val="21"/>
          <w:shd w:fill="EEF2F6"/>
        </w:rPr>
        <w:t>www</w:t>
      </w:r>
      <w:r>
        <w:rPr>
          <w:rFonts w:ascii="Calibri" w:hAnsi="Calibri"/>
          <w:b w:val="0"/>
          <w:color w:val="17202A"/>
          <w:sz w:val="22"/>
        </w:rPr>
        <w:t>.</w:t>
      </w:r>
    </w:p>
    <w:p>
      <w:pPr>
        <w:numPr>
          <w:ilvl w:val="0"/>
          <w:numId w:val="10"/>
        </w:numPr>
      </w:pPr>
      <w:r>
        <w:rPr>
          <w:rFonts w:ascii="Calibri" w:hAnsi="Calibri"/>
          <w:b w:val="0"/>
          <w:color w:val="17202A"/>
          <w:sz w:val="22"/>
        </w:rPr>
        <w:t>La protección DDoS sobre el DNS autoritativo sigue dependiendo de Azure DNS.</w:t>
      </w:r>
    </w:p>
    <w:p>
      <w:pPr>
        <w:numPr>
          <w:ilvl w:val="0"/>
          <w:numId w:val="10"/>
        </w:numPr>
      </w:pPr>
      <w:r>
        <w:rPr>
          <w:rFonts w:ascii="Calibri" w:hAnsi="Calibri"/>
          <w:b w:val="0"/>
          <w:color w:val="17202A"/>
          <w:sz w:val="22"/>
        </w:rPr>
        <w:t>El control queda repartido entre Azure DNS y Cloudflare.</w:t>
      </w:r>
    </w:p>
    <w:p>
      <w:r>
        <w:rPr>
          <w:rFonts w:ascii="Calibri" w:hAnsi="Calibri"/>
          <w:b w:val="0"/>
          <w:color w:val="17202A"/>
          <w:sz w:val="22"/>
        </w:rPr>
        <w:t>Para el caso descrito, la configuración parcial es una candidata natural: Azure DNS ya organiza web, blog, correo, delegaciones y CAA; se puede reducir la migración inicial a los hostnames web.</w:t>
      </w:r>
    </w:p>
    <w:p>
      <w:pPr>
        <w:pStyle w:val="Heading2"/>
      </w:pPr>
      <w:r>
        <w:rPr>
          <w:rFonts w:ascii="Calibri" w:hAnsi="Calibri"/>
          <w:b/>
          <w:color w:val="2E74B5"/>
          <w:sz w:val="26"/>
        </w:rPr>
        <w:t>2.3. Normalización apex y www</w:t>
      </w:r>
    </w:p>
    <w:p>
      <w:r>
        <w:rPr>
          <w:rFonts w:ascii="Calibri" w:hAnsi="Calibri"/>
          <w:b w:val="0"/>
          <w:color w:val="17202A"/>
          <w:sz w:val="22"/>
        </w:rPr>
        <w:t xml:space="preserve">La arquitectura actual redirige el dominio sin </w:t>
      </w:r>
      <w:r>
        <w:rPr>
          <w:rFonts w:ascii="Courier New" w:hAnsi="Courier New"/>
          <w:color w:val="1F4D78"/>
          <w:sz w:val="21"/>
          <w:shd w:fill="EEF2F6"/>
        </w:rPr>
        <w:t>www</w:t>
      </w:r>
      <w:r>
        <w:rPr>
          <w:rFonts w:ascii="Calibri" w:hAnsi="Calibri"/>
          <w:b w:val="0"/>
          <w:color w:val="17202A"/>
          <w:sz w:val="22"/>
        </w:rPr>
        <w:t xml:space="preserve"> hacia la versión con </w:t>
      </w:r>
      <w:r>
        <w:rPr>
          <w:rFonts w:ascii="Courier New" w:hAnsi="Courier New"/>
          <w:color w:val="1F4D78"/>
          <w:sz w:val="21"/>
          <w:shd w:fill="EEF2F6"/>
        </w:rPr>
        <w:t>www</w:t>
      </w:r>
      <w:r>
        <w:rPr>
          <w:rFonts w:ascii="Calibri" w:hAnsi="Calibri"/>
          <w:b w:val="0"/>
          <w:color w:val="17202A"/>
          <w:sz w:val="22"/>
        </w:rPr>
        <w:t>. Antes de migrar hay que decidir:</w:t>
      </w:r>
    </w:p>
    <w:p>
      <w:pPr>
        <w:numPr>
          <w:ilvl w:val="0"/>
          <w:numId w:val="10"/>
        </w:numPr>
      </w:pPr>
      <w:r>
        <w:rPr>
          <w:rFonts w:ascii="Calibri" w:hAnsi="Calibri"/>
          <w:b w:val="0"/>
          <w:color w:val="17202A"/>
          <w:sz w:val="22"/>
        </w:rPr>
        <w:t>Quién resuelve el apex.</w:t>
      </w:r>
    </w:p>
    <w:p>
      <w:pPr>
        <w:numPr>
          <w:ilvl w:val="0"/>
          <w:numId w:val="10"/>
        </w:numPr>
      </w:pPr>
      <w:r>
        <w:rPr>
          <w:rFonts w:ascii="Calibri" w:hAnsi="Calibri"/>
          <w:b w:val="0"/>
          <w:color w:val="17202A"/>
          <w:sz w:val="22"/>
        </w:rPr>
        <w:t>Dónde se ejecuta el 301.</w:t>
      </w:r>
    </w:p>
    <w:p>
      <w:pPr>
        <w:numPr>
          <w:ilvl w:val="0"/>
          <w:numId w:val="10"/>
        </w:numPr>
      </w:pPr>
      <w:r>
        <w:rPr>
          <w:rFonts w:ascii="Calibri" w:hAnsi="Calibri"/>
          <w:b w:val="0"/>
          <w:color w:val="17202A"/>
          <w:sz w:val="22"/>
        </w:rPr>
        <w:t>Si la petición llega a Cloudflare o a un servicio de redirección.</w:t>
      </w:r>
    </w:p>
    <w:p>
      <w:pPr>
        <w:numPr>
          <w:ilvl w:val="0"/>
          <w:numId w:val="10"/>
        </w:numPr>
      </w:pPr>
      <w:r>
        <w:rPr>
          <w:rFonts w:ascii="Calibri" w:hAnsi="Calibri"/>
          <w:b w:val="0"/>
          <w:color w:val="17202A"/>
          <w:sz w:val="22"/>
        </w:rPr>
        <w:t>Cómo se conserva HTTPS en el apex.</w:t>
      </w:r>
    </w:p>
    <w:p>
      <w:r>
        <w:rPr>
          <w:rFonts w:ascii="Calibri" w:hAnsi="Calibri"/>
          <w:b w:val="0"/>
          <w:color w:val="17202A"/>
          <w:sz w:val="22"/>
        </w:rPr>
        <w:t>La redirección debe probarse con y sin barra final, HTTP/HTTPS y parámetros de consulta relevantes. Una cadena de dos o tres saltos perjudica rendimiento y complica SEO.</w:t>
      </w:r>
    </w:p>
    <w:p>
      <w:pPr>
        <w:pStyle w:val="Heading2"/>
      </w:pPr>
      <w:r>
        <w:rPr>
          <w:rFonts w:ascii="Calibri" w:hAnsi="Calibri"/>
          <w:b/>
          <w:color w:val="2E74B5"/>
          <w:sz w:val="26"/>
        </w:rPr>
        <w:t>2.4. Certificados y CAA</w:t>
      </w:r>
    </w:p>
    <w:p>
      <w:r>
        <w:rPr>
          <w:rFonts w:ascii="Calibri" w:hAnsi="Calibri"/>
          <w:b w:val="0"/>
          <w:color w:val="17202A"/>
          <w:sz w:val="22"/>
        </w:rPr>
        <w:t>Cloudflare puede emitir certificados gestionados para el edge. El origen mantiene su propio certificado. Los registros CAA existentes pueden limitar qué autoridades están autorizadas a emitir; deben revisarse antes de activar certificados gestionados.</w:t>
      </w:r>
    </w:p>
    <w:p>
      <w:r>
        <w:rPr>
          <w:rFonts w:ascii="Calibri" w:hAnsi="Calibri"/>
          <w:b w:val="0"/>
          <w:color w:val="17202A"/>
          <w:sz w:val="22"/>
        </w:rPr>
        <w:t>La comprobación mínima incluye:</w:t>
      </w:r>
    </w:p>
    <w:p>
      <w:pPr>
        <w:numPr>
          <w:ilvl w:val="0"/>
          <w:numId w:val="10"/>
        </w:numPr>
      </w:pPr>
      <w:r>
        <w:rPr>
          <w:rFonts w:ascii="Calibri" w:hAnsi="Calibri"/>
          <w:b w:val="0"/>
          <w:color w:val="17202A"/>
          <w:sz w:val="22"/>
        </w:rPr>
        <w:t>Cobertura de dominio raíz y subdominios.</w:t>
      </w:r>
    </w:p>
    <w:p>
      <w:pPr>
        <w:numPr>
          <w:ilvl w:val="0"/>
          <w:numId w:val="10"/>
        </w:numPr>
      </w:pPr>
      <w:r>
        <w:rPr>
          <w:rFonts w:ascii="Calibri" w:hAnsi="Calibri"/>
          <w:b w:val="0"/>
          <w:color w:val="17202A"/>
          <w:sz w:val="22"/>
        </w:rPr>
        <w:t>Niveles de subdominio soportados por el certificado.</w:t>
      </w:r>
    </w:p>
    <w:p>
      <w:pPr>
        <w:numPr>
          <w:ilvl w:val="0"/>
          <w:numId w:val="10"/>
        </w:numPr>
      </w:pPr>
      <w:r>
        <w:rPr>
          <w:rFonts w:ascii="Calibri" w:hAnsi="Calibri"/>
          <w:b w:val="0"/>
          <w:color w:val="17202A"/>
          <w:sz w:val="22"/>
        </w:rPr>
        <w:t>Fecha de emisión y renovación.</w:t>
      </w:r>
    </w:p>
    <w:p>
      <w:pPr>
        <w:numPr>
          <w:ilvl w:val="0"/>
          <w:numId w:val="10"/>
        </w:numPr>
      </w:pPr>
      <w:r>
        <w:rPr>
          <w:rFonts w:ascii="Calibri" w:hAnsi="Calibri"/>
          <w:b w:val="0"/>
          <w:color w:val="17202A"/>
          <w:sz w:val="22"/>
        </w:rPr>
        <w:t>Modo SSL/TLS Full (strict).</w:t>
      </w:r>
    </w:p>
    <w:p>
      <w:pPr>
        <w:numPr>
          <w:ilvl w:val="0"/>
          <w:numId w:val="10"/>
        </w:numPr>
      </w:pPr>
      <w:r>
        <w:rPr>
          <w:rFonts w:ascii="Calibri" w:hAnsi="Calibri"/>
          <w:b w:val="0"/>
          <w:color w:val="17202A"/>
          <w:sz w:val="22"/>
        </w:rPr>
        <w:t>Certificado y SNI esperados en cada origen.</w:t>
      </w:r>
    </w:p>
    <w:p>
      <w:pPr>
        <w:pStyle w:val="Heading2"/>
      </w:pPr>
      <w:r>
        <w:rPr>
          <w:rFonts w:ascii="Calibri" w:hAnsi="Calibri"/>
          <w:b/>
          <w:color w:val="2E74B5"/>
          <w:sz w:val="26"/>
        </w:rPr>
        <w:t>2.5. Propagación y rollback</w:t>
      </w:r>
    </w:p>
    <w:p>
      <w:r>
        <w:rPr>
          <w:rFonts w:ascii="Calibri" w:hAnsi="Calibri"/>
          <w:b w:val="0"/>
          <w:color w:val="17202A"/>
          <w:sz w:val="22"/>
        </w:rPr>
        <w:t>Cambiar DNS no equivale a mover instantáneamente a todos los usuarios. Los resolvers y clientes conservan respuestas según TTL. Para un cambio controlado:</w:t>
      </w:r>
    </w:p>
    <w:p>
      <w:pPr>
        <w:numPr>
          <w:ilvl w:val="0"/>
          <w:numId w:val="15"/>
        </w:numPr>
      </w:pPr>
      <w:r>
        <w:rPr>
          <w:rFonts w:ascii="Calibri" w:hAnsi="Calibri"/>
          <w:b w:val="0"/>
          <w:color w:val="17202A"/>
          <w:sz w:val="22"/>
        </w:rPr>
        <w:t>Reducir TTL con antelación donde sea configurable.</w:t>
      </w:r>
    </w:p>
    <w:p>
      <w:pPr>
        <w:numPr>
          <w:ilvl w:val="0"/>
          <w:numId w:val="15"/>
        </w:numPr>
      </w:pPr>
      <w:r>
        <w:rPr>
          <w:rFonts w:ascii="Calibri" w:hAnsi="Calibri"/>
          <w:b w:val="0"/>
          <w:color w:val="17202A"/>
          <w:sz w:val="22"/>
        </w:rPr>
        <w:t>Mantener AFD plenamente operativo.</w:t>
      </w:r>
    </w:p>
    <w:p>
      <w:pPr>
        <w:numPr>
          <w:ilvl w:val="0"/>
          <w:numId w:val="15"/>
        </w:numPr>
      </w:pPr>
      <w:r>
        <w:rPr>
          <w:rFonts w:ascii="Calibri" w:hAnsi="Calibri"/>
          <w:b w:val="0"/>
          <w:color w:val="17202A"/>
          <w:sz w:val="22"/>
        </w:rPr>
        <w:t>Preparar el registro de vuelta.</w:t>
      </w:r>
    </w:p>
    <w:p>
      <w:pPr>
        <w:numPr>
          <w:ilvl w:val="0"/>
          <w:numId w:val="15"/>
        </w:numPr>
      </w:pPr>
      <w:r>
        <w:rPr>
          <w:rFonts w:ascii="Calibri" w:hAnsi="Calibri"/>
          <w:b w:val="0"/>
          <w:color w:val="17202A"/>
          <w:sz w:val="22"/>
        </w:rPr>
        <w:t>No retirar certificados, reglas ni allowlists antiguos durante la estabilización.</w:t>
      </w:r>
    </w:p>
    <w:p>
      <w:pPr>
        <w:numPr>
          <w:ilvl w:val="0"/>
          <w:numId w:val="15"/>
        </w:numPr>
      </w:pPr>
      <w:r>
        <w:rPr>
          <w:rFonts w:ascii="Calibri" w:hAnsi="Calibri"/>
          <w:b w:val="0"/>
          <w:color w:val="17202A"/>
          <w:sz w:val="22"/>
        </w:rPr>
        <w:t>Definir quién ordena el rollback y qué métricas lo activan.</w:t>
      </w:r>
    </w:p>
    <w:p>
      <w:pPr>
        <w:pStyle w:val="Heading2"/>
      </w:pPr>
      <w:r>
        <w:rPr>
          <w:rFonts w:ascii="Calibri" w:hAnsi="Calibri"/>
          <w:b/>
          <w:color w:val="2E74B5"/>
          <w:sz w:val="26"/>
        </w:rPr>
        <w:t>Ejercicio</w:t>
      </w:r>
    </w:p>
    <w:p>
      <w:r>
        <w:rPr>
          <w:rFonts w:ascii="Calibri" w:hAnsi="Calibri"/>
          <w:b w:val="0"/>
          <w:color w:val="17202A"/>
          <w:sz w:val="22"/>
        </w:rPr>
        <w:t>Dibuja dos planes de piloto:</w:t>
      </w:r>
    </w:p>
    <w:p>
      <w:pPr>
        <w:numPr>
          <w:ilvl w:val="0"/>
          <w:numId w:val="10"/>
        </w:numPr>
      </w:pPr>
      <w:r>
        <w:rPr>
          <w:rFonts w:ascii="Calibri" w:hAnsi="Calibri"/>
          <w:b w:val="0"/>
          <w:color w:val="17202A"/>
          <w:sz w:val="22"/>
        </w:rPr>
        <w:t>Plan A: zona completa en Cloudflare.</w:t>
      </w:r>
    </w:p>
    <w:p>
      <w:pPr>
        <w:numPr>
          <w:ilvl w:val="0"/>
          <w:numId w:val="10"/>
        </w:numPr>
      </w:pPr>
      <w:r>
        <w:rPr>
          <w:rFonts w:ascii="Calibri" w:hAnsi="Calibri"/>
          <w:b w:val="0"/>
          <w:color w:val="17202A"/>
          <w:sz w:val="22"/>
        </w:rPr>
        <w:t>Plan B: Azure DNS autoritativo y CNAME parcial solo para la web.</w:t>
      </w:r>
    </w:p>
    <w:p>
      <w:r>
        <w:rPr>
          <w:rFonts w:ascii="Calibri" w:hAnsi="Calibri"/>
          <w:b w:val="0"/>
          <w:color w:val="17202A"/>
          <w:sz w:val="22"/>
        </w:rPr>
        <w:t>Para cada uno identifica impacto en web, blog, correo, certificados y rollback.</w:t>
      </w:r>
    </w:p>
    <w:p>
      <w:pPr>
        <w:pStyle w:val="Heading1"/>
      </w:pPr>
      <w:r>
        <w:rPr>
          <w:rFonts w:ascii="Calibri" w:hAnsi="Calibri"/>
          <w:b/>
          <w:color w:val="2E74B5"/>
          <w:sz w:val="32"/>
        </w:rPr>
        <w:t>Módulo 3. Caché: rendimiento sin comprometer exactitud</w:t>
      </w:r>
    </w:p>
    <w:p>
      <w:pPr>
        <w:pStyle w:val="Heading2"/>
      </w:pPr>
      <w:r>
        <w:rPr>
          <w:rFonts w:ascii="Calibri" w:hAnsi="Calibri"/>
          <w:b/>
          <w:color w:val="2E74B5"/>
          <w:sz w:val="26"/>
        </w:rPr>
        <w:t>Objetivos</w:t>
      </w:r>
    </w:p>
    <w:p>
      <w:pPr>
        <w:numPr>
          <w:ilvl w:val="0"/>
          <w:numId w:val="10"/>
        </w:numPr>
      </w:pPr>
      <w:r>
        <w:rPr>
          <w:rFonts w:ascii="Calibri" w:hAnsi="Calibri"/>
          <w:b w:val="0"/>
          <w:color w:val="17202A"/>
          <w:sz w:val="22"/>
        </w:rPr>
        <w:t xml:space="preserve">Interpretar </w:t>
      </w:r>
      <w:r>
        <w:rPr>
          <w:rFonts w:ascii="Courier New" w:hAnsi="Courier New"/>
          <w:color w:val="1F4D78"/>
          <w:sz w:val="21"/>
          <w:shd w:fill="EEF2F6"/>
        </w:rPr>
        <w:t>Cache-Control</w:t>
      </w:r>
      <w:r>
        <w:rPr>
          <w:rFonts w:ascii="Calibri" w:hAnsi="Calibri"/>
          <w:b w:val="0"/>
          <w:color w:val="17202A"/>
          <w:sz w:val="22"/>
        </w:rPr>
        <w:t xml:space="preserve">, TTL y </w:t>
      </w:r>
      <w:r>
        <w:rPr>
          <w:rFonts w:ascii="Courier New" w:hAnsi="Courier New"/>
          <w:color w:val="1F4D78"/>
          <w:sz w:val="21"/>
          <w:shd w:fill="EEF2F6"/>
        </w:rPr>
        <w:t>CF-Cache-Status</w:t>
      </w:r>
      <w:r>
        <w:rPr>
          <w:rFonts w:ascii="Calibri" w:hAnsi="Calibri"/>
          <w:b w:val="0"/>
          <w:color w:val="17202A"/>
          <w:sz w:val="22"/>
        </w:rPr>
        <w:t>.</w:t>
      </w:r>
    </w:p>
    <w:p>
      <w:pPr>
        <w:numPr>
          <w:ilvl w:val="0"/>
          <w:numId w:val="10"/>
        </w:numPr>
      </w:pPr>
      <w:r>
        <w:rPr>
          <w:rFonts w:ascii="Calibri" w:hAnsi="Calibri"/>
          <w:b w:val="0"/>
          <w:color w:val="17202A"/>
          <w:sz w:val="22"/>
        </w:rPr>
        <w:t>Distinguir caché del navegador, edge y Tiered Cache.</w:t>
      </w:r>
    </w:p>
    <w:p>
      <w:pPr>
        <w:numPr>
          <w:ilvl w:val="0"/>
          <w:numId w:val="10"/>
        </w:numPr>
      </w:pPr>
      <w:r>
        <w:rPr>
          <w:rFonts w:ascii="Calibri" w:hAnsi="Calibri"/>
          <w:b w:val="0"/>
          <w:color w:val="17202A"/>
          <w:sz w:val="22"/>
        </w:rPr>
        <w:t>Diseñar una cache key segura.</w:t>
      </w:r>
    </w:p>
    <w:p>
      <w:pPr>
        <w:numPr>
          <w:ilvl w:val="0"/>
          <w:numId w:val="10"/>
        </w:numPr>
      </w:pPr>
      <w:r>
        <w:rPr>
          <w:rFonts w:ascii="Calibri" w:hAnsi="Calibri"/>
          <w:b w:val="0"/>
          <w:color w:val="17202A"/>
          <w:sz w:val="22"/>
        </w:rPr>
        <w:t>Aplicar bypass a sesiones, cookies y contenido dinámico.</w:t>
      </w:r>
    </w:p>
    <w:p>
      <w:pPr>
        <w:numPr>
          <w:ilvl w:val="0"/>
          <w:numId w:val="10"/>
        </w:numPr>
      </w:pPr>
      <w:r>
        <w:rPr>
          <w:rFonts w:ascii="Calibri" w:hAnsi="Calibri"/>
          <w:b w:val="0"/>
          <w:color w:val="17202A"/>
          <w:sz w:val="22"/>
        </w:rPr>
        <w:t>Elegir la estrategia de purga correcta.</w:t>
      </w:r>
    </w:p>
    <w:p>
      <w:pPr>
        <w:pStyle w:val="Heading2"/>
      </w:pPr>
      <w:r>
        <w:rPr>
          <w:rFonts w:ascii="Calibri" w:hAnsi="Calibri"/>
          <w:b/>
          <w:color w:val="2E74B5"/>
          <w:sz w:val="26"/>
        </w:rPr>
        <w:t>3.1. Qué problema resuelve la caché</w:t>
      </w:r>
    </w:p>
    <w:p>
      <w:r>
        <w:rPr>
          <w:rFonts w:ascii="Calibri" w:hAnsi="Calibri"/>
          <w:b w:val="0"/>
          <w:color w:val="17202A"/>
          <w:sz w:val="22"/>
        </w:rPr>
        <w:t>Sin caché, cada petición alcanza el origen. Con caché, Cloudflare puede reutilizar una respuesta compartible. Esto reduce TTFB, ancho de banda y carga en SAP, pero solo es correcto cuando dos peticiones equivalentes pueden recibir la misma representación.</w:t>
      </w:r>
    </w:p>
    <w:p>
      <w:r>
        <w:rPr>
          <w:rFonts w:ascii="Calibri" w:hAnsi="Calibri"/>
          <w:b w:val="0"/>
          <w:color w:val="17202A"/>
          <w:sz w:val="22"/>
        </w:rPr>
        <w:t>La pregunta esencial no es “¿se puede cachear esta URL?”, sino:</w:t>
      </w:r>
    </w:p>
    <w:p>
      <w:pPr>
        <w:spacing w:before="120" w:after="200"/>
        <w:ind w:left="259" w:right="144"/>
        <w:shd w:fill="F4F6F9"/>
        <w:pBdr>
          <w:left w:val="single" w:sz="18" w:space="8" w:color="F48120"/>
        </w:pBdr>
      </w:pPr>
      <w:r>
        <w:rPr>
          <w:rFonts w:ascii="Calibri" w:hAnsi="Calibri"/>
          <w:b w:val="0"/>
          <w:color w:val="17324D"/>
          <w:sz w:val="21"/>
        </w:rPr>
        <w:t>¿Qué propiedades de la petición pueden cambiar la respuesta y están representadas en la cache key o provocan bypass?</w:t>
      </w:r>
    </w:p>
    <w:p>
      <w:pPr>
        <w:pStyle w:val="Heading2"/>
      </w:pPr>
      <w:r>
        <w:rPr>
          <w:rFonts w:ascii="Calibri" w:hAnsi="Calibri"/>
          <w:b/>
          <w:color w:val="2E74B5"/>
          <w:sz w:val="26"/>
        </w:rPr>
        <w:t>3.2. Niveles de caché</w:t>
      </w:r>
    </w:p>
    <w:p>
      <w:pPr>
        <w:numPr>
          <w:ilvl w:val="0"/>
          <w:numId w:val="10"/>
        </w:numPr>
      </w:pPr>
      <w:r>
        <w:rPr>
          <w:rFonts w:ascii="Calibri" w:hAnsi="Calibri"/>
          <w:b w:val="0"/>
          <w:color w:val="17202A"/>
          <w:sz w:val="22"/>
        </w:rPr>
        <w:t>Caché del navegador: vive en el dispositivo del usuario.</w:t>
      </w:r>
    </w:p>
    <w:p>
      <w:pPr>
        <w:numPr>
          <w:ilvl w:val="0"/>
          <w:numId w:val="10"/>
        </w:numPr>
      </w:pPr>
      <w:r>
        <w:rPr>
          <w:rFonts w:ascii="Calibri" w:hAnsi="Calibri"/>
          <w:b w:val="0"/>
          <w:color w:val="17202A"/>
          <w:sz w:val="22"/>
        </w:rPr>
        <w:t>Caché del edge: vive en el PoP que atiende la petición.</w:t>
      </w:r>
    </w:p>
    <w:p>
      <w:pPr>
        <w:numPr>
          <w:ilvl w:val="0"/>
          <w:numId w:val="10"/>
        </w:numPr>
      </w:pPr>
      <w:r>
        <w:rPr>
          <w:rFonts w:ascii="Calibri" w:hAnsi="Calibri"/>
          <w:b w:val="0"/>
          <w:color w:val="17202A"/>
          <w:sz w:val="22"/>
        </w:rPr>
        <w:t>Upper tier: concentra misses antes del origen.</w:t>
      </w:r>
    </w:p>
    <w:p>
      <w:pPr>
        <w:numPr>
          <w:ilvl w:val="0"/>
          <w:numId w:val="10"/>
        </w:numPr>
      </w:pPr>
      <w:r>
        <w:rPr>
          <w:rFonts w:ascii="Calibri" w:hAnsi="Calibri"/>
          <w:b w:val="0"/>
          <w:color w:val="17202A"/>
          <w:sz w:val="22"/>
        </w:rPr>
        <w:t>Caché interna de SAP/OCC: puede existir dentro de la plataforma y tiene otra semántica.</w:t>
      </w:r>
    </w:p>
    <w:p>
      <w:r>
        <w:rPr>
          <w:rFonts w:ascii="Calibri" w:hAnsi="Calibri"/>
          <w:b w:val="0"/>
          <w:color w:val="17202A"/>
          <w:sz w:val="22"/>
        </w:rPr>
        <w:t>Los TTL de estas capas deben coordinarse. Un navegador con una copia de 24 horas no se corrige mediante una purga del edge. Una caché interna de SAP puede devolver información antigua aunque Cloudflare ya haya purgado su objeto.</w:t>
      </w:r>
    </w:p>
    <w:p>
      <w:pPr>
        <w:pStyle w:val="Heading2"/>
      </w:pPr>
      <w:r>
        <w:rPr>
          <w:rFonts w:ascii="Calibri" w:hAnsi="Calibri"/>
          <w:b/>
          <w:color w:val="2E74B5"/>
          <w:sz w:val="26"/>
        </w:rPr>
        <w:t>3.3. Comportamiento predeterminado de Cloudflare</w:t>
      </w:r>
    </w:p>
    <w:p>
      <w:r>
        <w:rPr>
          <w:rFonts w:ascii="Calibri" w:hAnsi="Calibri"/>
          <w:b w:val="0"/>
          <w:color w:val="17202A"/>
          <w:sz w:val="22"/>
        </w:rPr>
        <w:t xml:space="preserve">Por defecto Cloudflare cachea determinadas extensiones estáticas y no cachea HTML ni JSON solo por su tipo. Además, normalmente no cachea respuestas con </w:t>
      </w:r>
      <w:r>
        <w:rPr>
          <w:rFonts w:ascii="Courier New" w:hAnsi="Courier New"/>
          <w:color w:val="1F4D78"/>
          <w:sz w:val="21"/>
          <w:shd w:fill="EEF2F6"/>
        </w:rPr>
        <w:t>private</w:t>
      </w:r>
      <w:r>
        <w:rPr>
          <w:rFonts w:ascii="Calibri" w:hAnsi="Calibri"/>
          <w:b w:val="0"/>
          <w:color w:val="17202A"/>
          <w:sz w:val="22"/>
        </w:rPr>
        <w:t xml:space="preserve">, </w:t>
      </w:r>
      <w:r>
        <w:rPr>
          <w:rFonts w:ascii="Courier New" w:hAnsi="Courier New"/>
          <w:color w:val="1F4D78"/>
          <w:sz w:val="21"/>
          <w:shd w:fill="EEF2F6"/>
        </w:rPr>
        <w:t>no-store</w:t>
      </w:r>
      <w:r>
        <w:rPr>
          <w:rFonts w:ascii="Calibri" w:hAnsi="Calibri"/>
          <w:b w:val="0"/>
          <w:color w:val="17202A"/>
          <w:sz w:val="22"/>
        </w:rPr>
        <w:t xml:space="preserve">, </w:t>
      </w:r>
      <w:r>
        <w:rPr>
          <w:rFonts w:ascii="Courier New" w:hAnsi="Courier New"/>
          <w:color w:val="1F4D78"/>
          <w:sz w:val="21"/>
          <w:shd w:fill="EEF2F6"/>
        </w:rPr>
        <w:t>no-cache</w:t>
      </w:r>
      <w:r>
        <w:rPr>
          <w:rFonts w:ascii="Calibri" w:hAnsi="Calibri"/>
          <w:b w:val="0"/>
          <w:color w:val="17202A"/>
          <w:sz w:val="22"/>
        </w:rPr>
        <w:t xml:space="preserve">, </w:t>
      </w:r>
      <w:r>
        <w:rPr>
          <w:rFonts w:ascii="Courier New" w:hAnsi="Courier New"/>
          <w:color w:val="1F4D78"/>
          <w:sz w:val="21"/>
          <w:shd w:fill="EEF2F6"/>
        </w:rPr>
        <w:t>max-age=0</w:t>
      </w:r>
      <w:r>
        <w:rPr>
          <w:rFonts w:ascii="Calibri" w:hAnsi="Calibri"/>
          <w:b w:val="0"/>
          <w:color w:val="17202A"/>
          <w:sz w:val="22"/>
        </w:rPr>
        <w:t xml:space="preserve">, </w:t>
      </w:r>
      <w:r>
        <w:rPr>
          <w:rFonts w:ascii="Courier New" w:hAnsi="Courier New"/>
          <w:color w:val="1F4D78"/>
          <w:sz w:val="21"/>
          <w:shd w:fill="EEF2F6"/>
        </w:rPr>
        <w:t>Set-Cookie</w:t>
      </w:r>
      <w:r>
        <w:rPr>
          <w:rFonts w:ascii="Calibri" w:hAnsi="Calibri"/>
          <w:b w:val="0"/>
          <w:color w:val="17202A"/>
          <w:sz w:val="22"/>
        </w:rPr>
        <w:t>, métodos distintos de GET o peticiones autorizadas.</w:t>
      </w:r>
    </w:p>
    <w:p>
      <w:r>
        <w:rPr>
          <w:rFonts w:ascii="Calibri" w:hAnsi="Calibri"/>
          <w:b w:val="0"/>
          <w:color w:val="17202A"/>
          <w:sz w:val="22"/>
        </w:rPr>
        <w:t>Una Cache Rule puede cambiar la elegibilidad o el TTL. Por eso una regla “Cache Everything” aplicada sin exclusiones puede anular una salvaguarda conceptual y provocar una fuga de contenido personalizado.</w:t>
      </w:r>
    </w:p>
    <w:p>
      <w:pPr>
        <w:pStyle w:val="Heading2"/>
      </w:pPr>
      <w:r>
        <w:rPr>
          <w:rFonts w:ascii="Calibri" w:hAnsi="Calibri"/>
          <w:b/>
          <w:color w:val="2E74B5"/>
          <w:sz w:val="26"/>
        </w:rPr>
        <w:t>3.4. Cabeceras fundamentales</w:t>
      </w:r>
    </w:p>
    <w:p>
      <w:pPr>
        <w:pStyle w:val="Heading3"/>
      </w:pPr>
      <w:r>
        <w:rPr>
          <w:rFonts w:ascii="Calibri" w:hAnsi="Calibri"/>
          <w:b/>
          <w:color w:val="1F4D78"/>
          <w:sz w:val="24"/>
        </w:rPr>
        <w:t>Cache-Control</w:t>
      </w:r>
    </w:p>
    <w:p>
      <w:pPr>
        <w:numPr>
          <w:ilvl w:val="0"/>
          <w:numId w:val="10"/>
        </w:numPr>
      </w:pPr>
      <w:r>
        <w:rPr>
          <w:rFonts w:ascii="Courier New" w:hAnsi="Courier New"/>
          <w:color w:val="1F4D78"/>
          <w:sz w:val="21"/>
          <w:shd w:fill="EEF2F6"/>
        </w:rPr>
        <w:t>public</w:t>
      </w:r>
      <w:r>
        <w:rPr>
          <w:rFonts w:ascii="Calibri" w:hAnsi="Calibri"/>
          <w:b w:val="0"/>
          <w:color w:val="17202A"/>
          <w:sz w:val="22"/>
        </w:rPr>
        <w:t>: la respuesta puede almacenarse en una caché compartida si el resto de condiciones lo permite.</w:t>
      </w:r>
    </w:p>
    <w:p>
      <w:pPr>
        <w:numPr>
          <w:ilvl w:val="0"/>
          <w:numId w:val="10"/>
        </w:numPr>
      </w:pPr>
      <w:r>
        <w:rPr>
          <w:rFonts w:ascii="Courier New" w:hAnsi="Courier New"/>
          <w:color w:val="1F4D78"/>
          <w:sz w:val="21"/>
          <w:shd w:fill="EEF2F6"/>
        </w:rPr>
        <w:t>private</w:t>
      </w:r>
      <w:r>
        <w:rPr>
          <w:rFonts w:ascii="Calibri" w:hAnsi="Calibri"/>
          <w:b w:val="0"/>
          <w:color w:val="17202A"/>
          <w:sz w:val="22"/>
        </w:rPr>
        <w:t>: solo debería almacenarse en una caché privada del usuario.</w:t>
      </w:r>
    </w:p>
    <w:p>
      <w:pPr>
        <w:numPr>
          <w:ilvl w:val="0"/>
          <w:numId w:val="10"/>
        </w:numPr>
      </w:pPr>
      <w:r>
        <w:rPr>
          <w:rFonts w:ascii="Courier New" w:hAnsi="Courier New"/>
          <w:color w:val="1F4D78"/>
          <w:sz w:val="21"/>
          <w:shd w:fill="EEF2F6"/>
        </w:rPr>
        <w:t>no-store</w:t>
      </w:r>
      <w:r>
        <w:rPr>
          <w:rFonts w:ascii="Calibri" w:hAnsi="Calibri"/>
          <w:b w:val="0"/>
          <w:color w:val="17202A"/>
          <w:sz w:val="22"/>
        </w:rPr>
        <w:t>: no almacenar.</w:t>
      </w:r>
    </w:p>
    <w:p>
      <w:pPr>
        <w:numPr>
          <w:ilvl w:val="0"/>
          <w:numId w:val="10"/>
        </w:numPr>
      </w:pPr>
      <w:r>
        <w:rPr>
          <w:rFonts w:ascii="Courier New" w:hAnsi="Courier New"/>
          <w:color w:val="1F4D78"/>
          <w:sz w:val="21"/>
          <w:shd w:fill="EEF2F6"/>
        </w:rPr>
        <w:t>no-cache</w:t>
      </w:r>
      <w:r>
        <w:rPr>
          <w:rFonts w:ascii="Calibri" w:hAnsi="Calibri"/>
          <w:b w:val="0"/>
          <w:color w:val="17202A"/>
          <w:sz w:val="22"/>
        </w:rPr>
        <w:t>: exige revalidación antes de reutilizar.</w:t>
      </w:r>
    </w:p>
    <w:p>
      <w:pPr>
        <w:numPr>
          <w:ilvl w:val="0"/>
          <w:numId w:val="10"/>
        </w:numPr>
      </w:pPr>
      <w:r>
        <w:rPr>
          <w:rFonts w:ascii="Courier New" w:hAnsi="Courier New"/>
          <w:color w:val="1F4D78"/>
          <w:sz w:val="21"/>
          <w:shd w:fill="EEF2F6"/>
        </w:rPr>
        <w:t>max-age</w:t>
      </w:r>
      <w:r>
        <w:rPr>
          <w:rFonts w:ascii="Calibri" w:hAnsi="Calibri"/>
          <w:b w:val="0"/>
          <w:color w:val="17202A"/>
          <w:sz w:val="22"/>
        </w:rPr>
        <w:t>: frescura para cachés, normalmente también navegador.</w:t>
      </w:r>
    </w:p>
    <w:p>
      <w:pPr>
        <w:numPr>
          <w:ilvl w:val="0"/>
          <w:numId w:val="10"/>
        </w:numPr>
      </w:pPr>
      <w:r>
        <w:rPr>
          <w:rFonts w:ascii="Courier New" w:hAnsi="Courier New"/>
          <w:color w:val="1F4D78"/>
          <w:sz w:val="21"/>
          <w:shd w:fill="EEF2F6"/>
        </w:rPr>
        <w:t>s-maxage</w:t>
      </w:r>
      <w:r>
        <w:rPr>
          <w:rFonts w:ascii="Calibri" w:hAnsi="Calibri"/>
          <w:b w:val="0"/>
          <w:color w:val="17202A"/>
          <w:sz w:val="22"/>
        </w:rPr>
        <w:t>: frescura específica para cachés compartidas.</w:t>
      </w:r>
    </w:p>
    <w:p>
      <w:pPr>
        <w:numPr>
          <w:ilvl w:val="0"/>
          <w:numId w:val="10"/>
        </w:numPr>
      </w:pPr>
      <w:r>
        <w:rPr>
          <w:rFonts w:ascii="Courier New" w:hAnsi="Courier New"/>
          <w:color w:val="1F4D78"/>
          <w:sz w:val="21"/>
          <w:shd w:fill="EEF2F6"/>
        </w:rPr>
        <w:t>stale-while-revalidate</w:t>
      </w:r>
      <w:r>
        <w:rPr>
          <w:rFonts w:ascii="Calibri" w:hAnsi="Calibri"/>
          <w:b w:val="0"/>
          <w:color w:val="17202A"/>
          <w:sz w:val="22"/>
        </w:rPr>
        <w:t>: permite servir temporalmente una copia caducada mientras se actualiza.</w:t>
      </w:r>
    </w:p>
    <w:p>
      <w:pPr>
        <w:numPr>
          <w:ilvl w:val="0"/>
          <w:numId w:val="10"/>
        </w:numPr>
      </w:pPr>
      <w:r>
        <w:rPr>
          <w:rFonts w:ascii="Courier New" w:hAnsi="Courier New"/>
          <w:color w:val="1F4D78"/>
          <w:sz w:val="21"/>
          <w:shd w:fill="EEF2F6"/>
        </w:rPr>
        <w:t>stale-if-error</w:t>
      </w:r>
      <w:r>
        <w:rPr>
          <w:rFonts w:ascii="Calibri" w:hAnsi="Calibri"/>
          <w:b w:val="0"/>
          <w:color w:val="17202A"/>
          <w:sz w:val="22"/>
        </w:rPr>
        <w:t>: permite servir una copia antigua cuando el origen falla dentro de la ventana declarada.</w:t>
      </w:r>
    </w:p>
    <w:p>
      <w:pPr>
        <w:pStyle w:val="Heading3"/>
      </w:pPr>
      <w:r>
        <w:rPr>
          <w:rFonts w:ascii="Calibri" w:hAnsi="Calibri"/>
          <w:b/>
          <w:color w:val="1F4D78"/>
          <w:sz w:val="24"/>
        </w:rPr>
        <w:t>CF-Cache-Status</w:t>
      </w:r>
    </w:p>
    <w:p>
      <w:pPr>
        <w:numPr>
          <w:ilvl w:val="0"/>
          <w:numId w:val="10"/>
        </w:numPr>
      </w:pPr>
      <w:r>
        <w:rPr>
          <w:rFonts w:ascii="Courier New" w:hAnsi="Courier New"/>
          <w:color w:val="1F4D78"/>
          <w:sz w:val="21"/>
          <w:shd w:fill="EEF2F6"/>
        </w:rPr>
        <w:t>HIT</w:t>
      </w:r>
      <w:r>
        <w:rPr>
          <w:rFonts w:ascii="Calibri" w:hAnsi="Calibri"/>
          <w:b w:val="0"/>
          <w:color w:val="17202A"/>
          <w:sz w:val="22"/>
        </w:rPr>
        <w:t>: se sirvió desde caché.</w:t>
      </w:r>
    </w:p>
    <w:p>
      <w:pPr>
        <w:numPr>
          <w:ilvl w:val="0"/>
          <w:numId w:val="10"/>
        </w:numPr>
      </w:pPr>
      <w:r>
        <w:rPr>
          <w:rFonts w:ascii="Courier New" w:hAnsi="Courier New"/>
          <w:color w:val="1F4D78"/>
          <w:sz w:val="21"/>
          <w:shd w:fill="EEF2F6"/>
        </w:rPr>
        <w:t>MISS</w:t>
      </w:r>
      <w:r>
        <w:rPr>
          <w:rFonts w:ascii="Calibri" w:hAnsi="Calibri"/>
          <w:b w:val="0"/>
          <w:color w:val="17202A"/>
          <w:sz w:val="22"/>
        </w:rPr>
        <w:t>: no había copia utilizable; se consultó una capa superior u origen.</w:t>
      </w:r>
    </w:p>
    <w:p>
      <w:pPr>
        <w:numPr>
          <w:ilvl w:val="0"/>
          <w:numId w:val="10"/>
        </w:numPr>
      </w:pPr>
      <w:r>
        <w:rPr>
          <w:rFonts w:ascii="Courier New" w:hAnsi="Courier New"/>
          <w:color w:val="1F4D78"/>
          <w:sz w:val="21"/>
          <w:shd w:fill="EEF2F6"/>
        </w:rPr>
        <w:t>BYPASS</w:t>
      </w:r>
      <w:r>
        <w:rPr>
          <w:rFonts w:ascii="Calibri" w:hAnsi="Calibri"/>
          <w:b w:val="0"/>
          <w:color w:val="17202A"/>
          <w:sz w:val="22"/>
        </w:rPr>
        <w:t>: las reglas o cabeceras impidieron utilizar caché.</w:t>
      </w:r>
    </w:p>
    <w:p>
      <w:pPr>
        <w:numPr>
          <w:ilvl w:val="0"/>
          <w:numId w:val="10"/>
        </w:numPr>
      </w:pPr>
      <w:r>
        <w:rPr>
          <w:rFonts w:ascii="Courier New" w:hAnsi="Courier New"/>
          <w:color w:val="1F4D78"/>
          <w:sz w:val="21"/>
          <w:shd w:fill="EEF2F6"/>
        </w:rPr>
        <w:t>DYNAMIC</w:t>
      </w:r>
      <w:r>
        <w:rPr>
          <w:rFonts w:ascii="Calibri" w:hAnsi="Calibri"/>
          <w:b w:val="0"/>
          <w:color w:val="17202A"/>
          <w:sz w:val="22"/>
        </w:rPr>
        <w:t>: el recurso no era elegible con la política aplicada.</w:t>
      </w:r>
    </w:p>
    <w:p>
      <w:pPr>
        <w:numPr>
          <w:ilvl w:val="0"/>
          <w:numId w:val="10"/>
        </w:numPr>
      </w:pPr>
      <w:r>
        <w:rPr>
          <w:rFonts w:ascii="Courier New" w:hAnsi="Courier New"/>
          <w:color w:val="1F4D78"/>
          <w:sz w:val="21"/>
          <w:shd w:fill="EEF2F6"/>
        </w:rPr>
        <w:t>EXPIRED</w:t>
      </w:r>
      <w:r>
        <w:rPr>
          <w:rFonts w:ascii="Calibri" w:hAnsi="Calibri"/>
          <w:b w:val="0"/>
          <w:color w:val="17202A"/>
          <w:sz w:val="22"/>
        </w:rPr>
        <w:t>: había una copia caducada que necesitó actualización.</w:t>
      </w:r>
    </w:p>
    <w:p>
      <w:pPr>
        <w:numPr>
          <w:ilvl w:val="0"/>
          <w:numId w:val="10"/>
        </w:numPr>
      </w:pPr>
      <w:r>
        <w:rPr>
          <w:rFonts w:ascii="Courier New" w:hAnsi="Courier New"/>
          <w:color w:val="1F4D78"/>
          <w:sz w:val="21"/>
          <w:shd w:fill="EEF2F6"/>
        </w:rPr>
        <w:t>REVALIDATED</w:t>
      </w:r>
      <w:r>
        <w:rPr>
          <w:rFonts w:ascii="Calibri" w:hAnsi="Calibri"/>
          <w:b w:val="0"/>
          <w:color w:val="17202A"/>
          <w:sz w:val="22"/>
        </w:rPr>
        <w:t>: se validó la copia con el origen.</w:t>
      </w:r>
    </w:p>
    <w:p>
      <w:pPr>
        <w:numPr>
          <w:ilvl w:val="0"/>
          <w:numId w:val="10"/>
        </w:numPr>
      </w:pPr>
      <w:r>
        <w:rPr>
          <w:rFonts w:ascii="Courier New" w:hAnsi="Courier New"/>
          <w:color w:val="1F4D78"/>
          <w:sz w:val="21"/>
          <w:shd w:fill="EEF2F6"/>
        </w:rPr>
        <w:t>UPDATING</w:t>
      </w:r>
      <w:r>
        <w:rPr>
          <w:rFonts w:ascii="Calibri" w:hAnsi="Calibri"/>
          <w:b w:val="0"/>
          <w:color w:val="17202A"/>
          <w:sz w:val="22"/>
        </w:rPr>
        <w:t>: se sirvió una copia stale mientras se actualizaba.</w:t>
      </w:r>
    </w:p>
    <w:p>
      <w:r>
        <w:rPr>
          <w:rFonts w:ascii="Calibri" w:hAnsi="Calibri"/>
          <w:b w:val="0"/>
          <w:color w:val="17202A"/>
          <w:sz w:val="22"/>
        </w:rPr>
        <w:t xml:space="preserve">La cabecera debe observarse junto con </w:t>
      </w:r>
      <w:r>
        <w:rPr>
          <w:rFonts w:ascii="Courier New" w:hAnsi="Courier New"/>
          <w:color w:val="1F4D78"/>
          <w:sz w:val="21"/>
          <w:shd w:fill="EEF2F6"/>
        </w:rPr>
        <w:t>Age</w:t>
      </w:r>
      <w:r>
        <w:rPr>
          <w:rFonts w:ascii="Calibri" w:hAnsi="Calibri"/>
          <w:b w:val="0"/>
          <w:color w:val="17202A"/>
          <w:sz w:val="22"/>
        </w:rPr>
        <w:t xml:space="preserve">, </w:t>
      </w:r>
      <w:r>
        <w:rPr>
          <w:rFonts w:ascii="Courier New" w:hAnsi="Courier New"/>
          <w:color w:val="1F4D78"/>
          <w:sz w:val="21"/>
          <w:shd w:fill="EEF2F6"/>
        </w:rPr>
        <w:t>Cache-Control</w:t>
      </w:r>
      <w:r>
        <w:rPr>
          <w:rFonts w:ascii="Calibri" w:hAnsi="Calibri"/>
          <w:b w:val="0"/>
          <w:color w:val="17202A"/>
          <w:sz w:val="22"/>
        </w:rPr>
        <w:t>, cookies y código HTTP.</w:t>
      </w:r>
    </w:p>
    <w:p>
      <w:pPr>
        <w:pStyle w:val="Heading2"/>
      </w:pPr>
      <w:r>
        <w:rPr>
          <w:rFonts w:ascii="Calibri" w:hAnsi="Calibri"/>
          <w:b/>
          <w:color w:val="2E74B5"/>
          <w:sz w:val="26"/>
        </w:rPr>
        <w:t>3.5. Cache key</w:t>
      </w:r>
    </w:p>
    <w:p>
      <w:r>
        <w:rPr>
          <w:rFonts w:ascii="Calibri" w:hAnsi="Calibri"/>
          <w:b w:val="0"/>
          <w:color w:val="17202A"/>
          <w:sz w:val="22"/>
        </w:rPr>
        <w:t>La cache key identifica qué peticiones comparten objeto. Suele incluir hostname, ruta y tratamiento de query string. Enterprise ofrece una composición más granular mediante cookies, cabeceras y parámetros concretos. Business tiene menos libertad para construir claves personalizadas complejas.</w:t>
      </w:r>
    </w:p>
    <w:p>
      <w:r>
        <w:rPr>
          <w:rFonts w:ascii="Calibri" w:hAnsi="Calibri"/>
          <w:b w:val="0"/>
          <w:color w:val="17202A"/>
          <w:sz w:val="22"/>
        </w:rPr>
        <w:t>Ejemplo de riesgo:</w:t>
      </w:r>
    </w:p>
    <w:p>
      <w:r>
        <w:rPr>
          <w:rFonts w:ascii="Courier New" w:hAnsi="Courier New"/>
          <w:color w:val="1F4D78"/>
          <w:sz w:val="21"/>
          <w:shd w:fill="EEF2F6"/>
        </w:rPr>
        <w:t>/pt/producto/sofa?customerGroup=vip</w:t>
      </w:r>
    </w:p>
    <w:p>
      <w:r>
        <w:rPr>
          <w:rFonts w:ascii="Calibri" w:hAnsi="Calibri"/>
          <w:b w:val="0"/>
          <w:color w:val="17202A"/>
          <w:sz w:val="22"/>
        </w:rPr>
        <w:t xml:space="preserve">Si el precio depende del parámetro y la regla ignora toda la query string, una respuesta VIP podría compartirse con otros usuarios. Ignorar parámetros de tracking como </w:t>
      </w:r>
      <w:r>
        <w:rPr>
          <w:rFonts w:ascii="Courier New" w:hAnsi="Courier New"/>
          <w:color w:val="1F4D78"/>
          <w:sz w:val="21"/>
          <w:shd w:fill="EEF2F6"/>
        </w:rPr>
        <w:t>utm_source</w:t>
      </w:r>
      <w:r>
        <w:rPr>
          <w:rFonts w:ascii="Calibri" w:hAnsi="Calibri"/>
          <w:b w:val="0"/>
          <w:color w:val="17202A"/>
          <w:sz w:val="22"/>
        </w:rPr>
        <w:t xml:space="preserve"> puede ser razonable; ignorar parámetros funcionales sin inventario no lo es.</w:t>
      </w:r>
    </w:p>
    <w:p>
      <w:pPr>
        <w:pStyle w:val="Heading2"/>
      </w:pPr>
      <w:r>
        <w:rPr>
          <w:rFonts w:ascii="Calibri" w:hAnsi="Calibri"/>
          <w:b/>
          <w:color w:val="2E74B5"/>
          <w:sz w:val="26"/>
        </w:rPr>
        <w:t>3.6. Orden de reglas</w:t>
      </w:r>
    </w:p>
    <w:p>
      <w:r>
        <w:rPr>
          <w:rFonts w:ascii="Calibri" w:hAnsi="Calibri"/>
          <w:b w:val="0"/>
          <w:color w:val="17202A"/>
          <w:sz w:val="22"/>
        </w:rPr>
        <w:t>Las Cache Rules pueden acumular ajustes. Cuando dos reglas cambian la misma propiedad, la última coincidencia relevante prevalece. Conviene usar una estrategia legible:</w:t>
      </w:r>
    </w:p>
    <w:p>
      <w:pPr>
        <w:numPr>
          <w:ilvl w:val="0"/>
          <w:numId w:val="16"/>
        </w:numPr>
      </w:pPr>
      <w:r>
        <w:rPr>
          <w:rFonts w:ascii="Calibri" w:hAnsi="Calibri"/>
          <w:b w:val="0"/>
          <w:color w:val="17202A"/>
          <w:sz w:val="22"/>
        </w:rPr>
        <w:t>Reglas de bypass de máxima seguridad.</w:t>
      </w:r>
    </w:p>
    <w:p>
      <w:pPr>
        <w:numPr>
          <w:ilvl w:val="0"/>
          <w:numId w:val="16"/>
        </w:numPr>
      </w:pPr>
      <w:r>
        <w:rPr>
          <w:rFonts w:ascii="Calibri" w:hAnsi="Calibri"/>
          <w:b w:val="0"/>
          <w:color w:val="17202A"/>
          <w:sz w:val="22"/>
        </w:rPr>
        <w:t>Reglas por rutas dinámicas y cookies.</w:t>
      </w:r>
    </w:p>
    <w:p>
      <w:pPr>
        <w:numPr>
          <w:ilvl w:val="0"/>
          <w:numId w:val="16"/>
        </w:numPr>
      </w:pPr>
      <w:r>
        <w:rPr>
          <w:rFonts w:ascii="Calibri" w:hAnsi="Calibri"/>
          <w:b w:val="0"/>
          <w:color w:val="17202A"/>
          <w:sz w:val="22"/>
        </w:rPr>
        <w:t>Reglas de estáticos.</w:t>
      </w:r>
    </w:p>
    <w:p>
      <w:pPr>
        <w:numPr>
          <w:ilvl w:val="0"/>
          <w:numId w:val="16"/>
        </w:numPr>
      </w:pPr>
      <w:r>
        <w:rPr>
          <w:rFonts w:ascii="Calibri" w:hAnsi="Calibri"/>
          <w:b w:val="0"/>
          <w:color w:val="17202A"/>
          <w:sz w:val="22"/>
        </w:rPr>
        <w:t>Reglas específicas de páginas anónimas probadas.</w:t>
      </w:r>
    </w:p>
    <w:p>
      <w:pPr>
        <w:numPr>
          <w:ilvl w:val="0"/>
          <w:numId w:val="16"/>
        </w:numPr>
      </w:pPr>
      <w:r>
        <w:rPr>
          <w:rFonts w:ascii="Calibri" w:hAnsi="Calibri"/>
          <w:b w:val="0"/>
          <w:color w:val="17202A"/>
          <w:sz w:val="22"/>
        </w:rPr>
        <w:t>Excepciones muy concretas y documentadas.</w:t>
      </w:r>
    </w:p>
    <w:p>
      <w:r>
        <w:rPr>
          <w:rFonts w:ascii="Calibri" w:hAnsi="Calibri"/>
          <w:b w:val="0"/>
          <w:color w:val="17202A"/>
          <w:sz w:val="22"/>
        </w:rPr>
        <w:t>Una revisión debe buscar solapamientos, no solo leer reglas por separado.</w:t>
      </w:r>
    </w:p>
    <w:p>
      <w:pPr>
        <w:pStyle w:val="Heading2"/>
      </w:pPr>
      <w:r>
        <w:rPr>
          <w:rFonts w:ascii="Calibri" w:hAnsi="Calibri"/>
          <w:b/>
          <w:color w:val="2E74B5"/>
          <w:sz w:val="26"/>
        </w:rPr>
        <w:t>3.7. Tiered Cache</w:t>
      </w:r>
    </w:p>
    <w:p>
      <w:pPr>
        <w:spacing w:before="120" w:after="160"/>
        <w:jc w:val="center"/>
      </w:pPr>
      <w:r>
        <w:drawing>
          <wp:inline xmlns:a="http://schemas.openxmlformats.org/drawingml/2006/main" xmlns:pic="http://schemas.openxmlformats.org/drawingml/2006/picture">
            <wp:extent cx="5806440" cy="2709672"/>
            <wp:docPr id="3" name="Picture 3" descr="tiered cache" title="tiered cache"/>
            <wp:cNvGraphicFramePr>
              <a:graphicFrameLocks noChangeAspect="1"/>
            </wp:cNvGraphicFramePr>
            <a:graphic>
              <a:graphicData uri="http://schemas.openxmlformats.org/drawingml/2006/picture">
                <pic:pic>
                  <pic:nvPicPr>
                    <pic:cNvPr id="0" name="tiered-cache.png"/>
                    <pic:cNvPicPr/>
                  </pic:nvPicPr>
                  <pic:blipFill>
                    <a:blip r:embed="rId13"/>
                    <a:stretch>
                      <a:fillRect/>
                    </a:stretch>
                  </pic:blipFill>
                  <pic:spPr>
                    <a:xfrm>
                      <a:off x="0" y="0"/>
                      <a:ext cx="5806440" cy="2709672"/>
                    </a:xfrm>
                    <a:prstGeom prst="rect"/>
                  </pic:spPr>
                </pic:pic>
              </a:graphicData>
            </a:graphic>
          </wp:inline>
        </w:drawing>
      </w:r>
    </w:p>
    <w:p>
      <w:r>
        <w:rPr>
          <w:rFonts w:ascii="Calibri" w:hAnsi="Calibri"/>
          <w:b w:val="0"/>
          <w:color w:val="17202A"/>
          <w:sz w:val="22"/>
        </w:rPr>
        <w:t>Business dispone de Tiered Cache y Smart Topology. Cuando un PoP inferior no tiene el objeto, consulta un upper tier seleccionado cerca del origen antes de llegar a SAP. Esto concentra misses y aumenta la reutilización.</w:t>
      </w:r>
    </w:p>
    <w:p>
      <w:r>
        <w:rPr>
          <w:rFonts w:ascii="Calibri" w:hAnsi="Calibri"/>
          <w:b w:val="0"/>
          <w:color w:val="17202A"/>
          <w:sz w:val="22"/>
        </w:rPr>
        <w:t>Enterprise añade topologías globales, regionales o personalizadas. Regional Tiered Cache introduce otra comprobación en un hub regional antes del upper tier. La descripción comercial “varios niveles” debe traducirse a la topología exacta contratada.</w:t>
      </w:r>
    </w:p>
    <w:p>
      <w:r>
        <w:rPr>
          <w:rFonts w:ascii="Calibri" w:hAnsi="Calibri"/>
          <w:b w:val="0"/>
          <w:color w:val="17202A"/>
          <w:sz w:val="22"/>
        </w:rPr>
        <w:t>Para orígenes en nubes públicas, Cloudflare permite indicar proveedor y región para elegir mejor el upper tier. El caso real debe validar si el origen de SAP se beneficia de esa indicación y si el hostname está detrás de anycast.</w:t>
      </w:r>
    </w:p>
    <w:p>
      <w:pPr>
        <w:pStyle w:val="Heading2"/>
      </w:pPr>
      <w:r>
        <w:rPr>
          <w:rFonts w:ascii="Calibri" w:hAnsi="Calibri"/>
          <w:b/>
          <w:color w:val="2E74B5"/>
          <w:sz w:val="26"/>
        </w:rPr>
        <w:t>3.8. Purga</w:t>
      </w:r>
    </w:p>
    <w:p>
      <w:r>
        <w:rPr>
          <w:rFonts w:ascii="Calibri" w:hAnsi="Calibri"/>
          <w:b w:val="0"/>
          <w:color w:val="17202A"/>
          <w:sz w:val="22"/>
        </w:rPr>
        <w:t>Cloudflare ofrece purga por:</w:t>
      </w:r>
    </w:p>
    <w:p>
      <w:pPr>
        <w:numPr>
          <w:ilvl w:val="0"/>
          <w:numId w:val="10"/>
        </w:numPr>
      </w:pPr>
      <w:r>
        <w:rPr>
          <w:rFonts w:ascii="Calibri" w:hAnsi="Calibri"/>
          <w:b w:val="0"/>
          <w:color w:val="17202A"/>
          <w:sz w:val="22"/>
        </w:rPr>
        <w:t>URL concreta.</w:t>
      </w:r>
    </w:p>
    <w:p>
      <w:pPr>
        <w:numPr>
          <w:ilvl w:val="0"/>
          <w:numId w:val="10"/>
        </w:numPr>
      </w:pPr>
      <w:r>
        <w:rPr>
          <w:rFonts w:ascii="Calibri" w:hAnsi="Calibri"/>
          <w:b w:val="0"/>
          <w:color w:val="17202A"/>
          <w:sz w:val="22"/>
        </w:rPr>
        <w:t>Hostname.</w:t>
      </w:r>
    </w:p>
    <w:p>
      <w:pPr>
        <w:numPr>
          <w:ilvl w:val="0"/>
          <w:numId w:val="10"/>
        </w:numPr>
      </w:pPr>
      <w:r>
        <w:rPr>
          <w:rFonts w:ascii="Calibri" w:hAnsi="Calibri"/>
          <w:b w:val="0"/>
          <w:color w:val="17202A"/>
          <w:sz w:val="22"/>
        </w:rPr>
        <w:t>Prefijo.</w:t>
      </w:r>
    </w:p>
    <w:p>
      <w:pPr>
        <w:numPr>
          <w:ilvl w:val="0"/>
          <w:numId w:val="10"/>
        </w:numPr>
      </w:pPr>
      <w:r>
        <w:rPr>
          <w:rFonts w:ascii="Calibri" w:hAnsi="Calibri"/>
          <w:b w:val="0"/>
          <w:color w:val="17202A"/>
          <w:sz w:val="22"/>
        </w:rPr>
        <w:t>Cache Tag.</w:t>
      </w:r>
    </w:p>
    <w:p>
      <w:pPr>
        <w:numPr>
          <w:ilvl w:val="0"/>
          <w:numId w:val="10"/>
        </w:numPr>
      </w:pPr>
      <w:r>
        <w:rPr>
          <w:rFonts w:ascii="Calibri" w:hAnsi="Calibri"/>
          <w:b w:val="0"/>
          <w:color w:val="17202A"/>
          <w:sz w:val="22"/>
        </w:rPr>
        <w:t>Todo el dominio.</w:t>
      </w:r>
    </w:p>
    <w:p>
      <w:r>
        <w:rPr>
          <w:rFonts w:ascii="Calibri" w:hAnsi="Calibri"/>
          <w:b w:val="0"/>
          <w:color w:val="17202A"/>
          <w:sz w:val="22"/>
        </w:rPr>
        <w:t>Principio operativo: elegir el ámbito mínimo que resuelva el cambio. Purge Everything puede provocar una tormenta de misses contra SAP.</w:t>
      </w:r>
    </w:p>
    <w:p>
      <w:r>
        <w:rPr>
          <w:rFonts w:ascii="Calibri" w:hAnsi="Calibri"/>
          <w:b w:val="0"/>
          <w:color w:val="17202A"/>
          <w:sz w:val="22"/>
        </w:rPr>
        <w:t>Cache Tags son especialmente útiles para ecommerce. El origen puede etiquetar respuestas:</w:t>
      </w:r>
    </w:p>
    <w:p>
      <w:r>
        <w:rPr>
          <w:rFonts w:ascii="Courier New" w:hAnsi="Courier New"/>
          <w:color w:val="1F4D78"/>
          <w:sz w:val="21"/>
          <w:shd w:fill="EEF2F6"/>
        </w:rPr>
        <w:t>Cache-Tag: product-123, category-sofas, market-pt</w:t>
      </w:r>
    </w:p>
    <w:p>
      <w:r>
        <w:rPr>
          <w:rFonts w:ascii="Calibri" w:hAnsi="Calibri"/>
          <w:b w:val="0"/>
          <w:color w:val="17202A"/>
          <w:sz w:val="22"/>
        </w:rPr>
        <w:t xml:space="preserve">Al actualizar el producto se purga </w:t>
      </w:r>
      <w:r>
        <w:rPr>
          <w:rFonts w:ascii="Courier New" w:hAnsi="Courier New"/>
          <w:color w:val="1F4D78"/>
          <w:sz w:val="21"/>
          <w:shd w:fill="EEF2F6"/>
        </w:rPr>
        <w:t>product-123</w:t>
      </w:r>
      <w:r>
        <w:rPr>
          <w:rFonts w:ascii="Calibri" w:hAnsi="Calibri"/>
          <w:b w:val="0"/>
          <w:color w:val="17202A"/>
          <w:sz w:val="22"/>
        </w:rPr>
        <w:t xml:space="preserve"> sin enumerar todas sus URLs. Para aprovecharlo SAP Commerce o una capa intermedia debe emitir y gobernar esas etiquetas.</w:t>
      </w:r>
    </w:p>
    <w:p>
      <w:pPr>
        <w:pStyle w:val="Heading2"/>
      </w:pPr>
      <w:r>
        <w:rPr>
          <w:rFonts w:ascii="Calibri" w:hAnsi="Calibri"/>
          <w:b/>
          <w:color w:val="2E74B5"/>
          <w:sz w:val="26"/>
        </w:rPr>
        <w:t>3.9. Matriz inicial de caché para el caso</w:t>
      </w:r>
    </w:p>
    <w:tbl>
      <w:tblPr>
        <w:tblStyle w:val="TableGrid"/>
        <w:tblW w:type="dxa" w:w="9360"/>
        <w:jc w:val="left"/>
        <w:tblLayout w:type="fixed"/>
        <w:tblLook w:firstColumn="1" w:firstRow="1" w:lastColumn="0" w:lastRow="0" w:noHBand="0" w:noVBand="1" w:val="04A0"/>
        <w:tblInd w:w="120" w:type="dxa"/>
      </w:tblPr>
      <w:tblGrid>
        <w:gridCol w:w="1900"/>
        <w:gridCol w:w="3730"/>
        <w:gridCol w:w="3730"/>
      </w:tblGrid>
      <w:tr>
        <w:trPr>
          <w:tblHeader w:val="true"/>
        </w:trPr>
        <w:tc>
          <w:tcPr>
            <w:tcW w:type="dxa" w:w="1900"/>
            <w:tcMar>
              <w:top w:w="80" w:type="dxa"/>
              <w:start w:w="120" w:type="dxa"/>
              <w:bottom w:w="80" w:type="dxa"/>
              <w:end w:w="120" w:type="dxa"/>
            </w:tcMar>
            <w:vAlign w:val="center"/>
            <w:shd w:fill="E8EEF5"/>
          </w:tcPr>
          <w:p>
            <w:pPr>
              <w:spacing w:before="0" w:after="0" w:line="276" w:lineRule="auto"/>
            </w:pPr>
            <w:r>
              <w:rPr>
                <w:rFonts w:ascii="Calibri" w:hAnsi="Calibri"/>
                <w:b/>
                <w:color w:val="17202A"/>
                <w:sz w:val="19"/>
              </w:rPr>
              <w:t>Tipo de tráfico</w:t>
            </w:r>
          </w:p>
        </w:tc>
        <w:tc>
          <w:tcPr>
            <w:tcW w:type="dxa" w:w="3730"/>
            <w:tcMar>
              <w:top w:w="80" w:type="dxa"/>
              <w:start w:w="120" w:type="dxa"/>
              <w:bottom w:w="80" w:type="dxa"/>
              <w:end w:w="120" w:type="dxa"/>
            </w:tcMar>
            <w:vAlign w:val="center"/>
            <w:shd w:fill="E8EEF5"/>
          </w:tcPr>
          <w:p>
            <w:pPr>
              <w:spacing w:before="0" w:after="0" w:line="276" w:lineRule="auto"/>
            </w:pPr>
            <w:r>
              <w:rPr>
                <w:rFonts w:ascii="Calibri" w:hAnsi="Calibri"/>
                <w:b/>
                <w:color w:val="17202A"/>
                <w:sz w:val="19"/>
              </w:rPr>
              <w:t>Inicio recomendado</w:t>
            </w:r>
          </w:p>
        </w:tc>
        <w:tc>
          <w:tcPr>
            <w:tcW w:type="dxa" w:w="3730"/>
            <w:tcMar>
              <w:top w:w="80" w:type="dxa"/>
              <w:start w:w="120" w:type="dxa"/>
              <w:bottom w:w="80" w:type="dxa"/>
              <w:end w:w="120" w:type="dxa"/>
            </w:tcMar>
            <w:vAlign w:val="center"/>
            <w:shd w:fill="E8EEF5"/>
          </w:tcPr>
          <w:p>
            <w:pPr>
              <w:spacing w:before="0" w:after="0" w:line="276" w:lineRule="auto"/>
            </w:pPr>
            <w:r>
              <w:rPr>
                <w:rFonts w:ascii="Calibri" w:hAnsi="Calibri"/>
                <w:b/>
                <w:color w:val="17202A"/>
                <w:sz w:val="19"/>
              </w:rPr>
              <w:t>Motivo</w:t>
            </w:r>
          </w:p>
        </w:tc>
      </w:tr>
      <w:tr>
        <w:tc>
          <w:tcPr>
            <w:tcW w:type="dxa" w:w="1900"/>
            <w:tcMar>
              <w:top w:w="80" w:type="dxa"/>
              <w:start w:w="120" w:type="dxa"/>
              <w:bottom w:w="80" w:type="dxa"/>
              <w:end w:w="120" w:type="dxa"/>
            </w:tcMar>
            <w:vAlign w:val="center"/>
          </w:tcPr>
          <w:p>
            <w:pPr>
              <w:spacing w:before="0" w:after="0" w:line="276" w:lineRule="auto"/>
            </w:pPr>
            <w:r>
              <w:rPr>
                <w:rFonts w:ascii="Calibri" w:hAnsi="Calibri"/>
                <w:b w:val="0"/>
                <w:color w:val="17202A"/>
                <w:sz w:val="19"/>
              </w:rPr>
              <w:t>CSS, JS, fuentes, imágenes versionadas</w:t>
            </w:r>
          </w:p>
        </w:tc>
        <w:tc>
          <w:tcPr>
            <w:tcW w:type="dxa" w:w="3730"/>
            <w:tcMar>
              <w:top w:w="80" w:type="dxa"/>
              <w:start w:w="120" w:type="dxa"/>
              <w:bottom w:w="80" w:type="dxa"/>
              <w:end w:w="120" w:type="dxa"/>
            </w:tcMar>
            <w:vAlign w:val="center"/>
          </w:tcPr>
          <w:p>
            <w:pPr>
              <w:spacing w:before="0" w:after="0" w:line="276" w:lineRule="auto"/>
            </w:pPr>
            <w:r>
              <w:rPr>
                <w:rFonts w:ascii="Calibri" w:hAnsi="Calibri"/>
                <w:b w:val="0"/>
                <w:color w:val="17202A"/>
                <w:sz w:val="19"/>
              </w:rPr>
              <w:t>Cachear con TTL largo</w:t>
            </w:r>
          </w:p>
        </w:tc>
        <w:tc>
          <w:tcPr>
            <w:tcW w:type="dxa" w:w="3730"/>
            <w:tcMar>
              <w:top w:w="80" w:type="dxa"/>
              <w:start w:w="120" w:type="dxa"/>
              <w:bottom w:w="80" w:type="dxa"/>
              <w:end w:w="120" w:type="dxa"/>
            </w:tcMar>
            <w:vAlign w:val="center"/>
          </w:tcPr>
          <w:p>
            <w:pPr>
              <w:spacing w:before="0" w:after="0" w:line="276" w:lineRule="auto"/>
            </w:pPr>
            <w:r>
              <w:rPr>
                <w:rFonts w:ascii="Calibri" w:hAnsi="Calibri"/>
                <w:b w:val="0"/>
                <w:color w:val="17202A"/>
                <w:sz w:val="19"/>
              </w:rPr>
              <w:t>Bajo riesgo si el nombre cambia con la versión</w:t>
            </w:r>
          </w:p>
        </w:tc>
      </w:tr>
      <w:tr>
        <w:tc>
          <w:tcPr>
            <w:tcW w:type="dxa" w:w="1900"/>
            <w:tcMar>
              <w:top w:w="80" w:type="dxa"/>
              <w:start w:w="120" w:type="dxa"/>
              <w:bottom w:w="80" w:type="dxa"/>
              <w:end w:w="120" w:type="dxa"/>
            </w:tcMar>
            <w:vAlign w:val="center"/>
          </w:tcPr>
          <w:p>
            <w:pPr>
              <w:spacing w:before="0" w:after="0" w:line="276" w:lineRule="auto"/>
            </w:pPr>
            <w:r>
              <w:rPr>
                <w:rFonts w:ascii="Calibri" w:hAnsi="Calibri"/>
                <w:b w:val="0"/>
                <w:color w:val="17202A"/>
                <w:sz w:val="19"/>
              </w:rPr>
              <w:t>Traducciones estáticas</w:t>
            </w:r>
          </w:p>
        </w:tc>
        <w:tc>
          <w:tcPr>
            <w:tcW w:type="dxa" w:w="3730"/>
            <w:tcMar>
              <w:top w:w="80" w:type="dxa"/>
              <w:start w:w="120" w:type="dxa"/>
              <w:bottom w:w="80" w:type="dxa"/>
              <w:end w:w="120" w:type="dxa"/>
            </w:tcMar>
            <w:vAlign w:val="center"/>
          </w:tcPr>
          <w:p>
            <w:pPr>
              <w:spacing w:before="0" w:after="0" w:line="276" w:lineRule="auto"/>
            </w:pPr>
            <w:r>
              <w:rPr>
                <w:rFonts w:ascii="Calibri" w:hAnsi="Calibri"/>
                <w:b w:val="0"/>
                <w:color w:val="17202A"/>
                <w:sz w:val="19"/>
              </w:rPr>
              <w:t>Cachear; purga al desplegar</w:t>
            </w:r>
          </w:p>
        </w:tc>
        <w:tc>
          <w:tcPr>
            <w:tcW w:type="dxa" w:w="3730"/>
            <w:tcMar>
              <w:top w:w="80" w:type="dxa"/>
              <w:start w:w="120" w:type="dxa"/>
              <w:bottom w:w="80" w:type="dxa"/>
              <w:end w:w="120" w:type="dxa"/>
            </w:tcMar>
            <w:vAlign w:val="center"/>
          </w:tcPr>
          <w:p>
            <w:pPr>
              <w:spacing w:before="0" w:after="0" w:line="276" w:lineRule="auto"/>
            </w:pPr>
            <w:r>
              <w:rPr>
                <w:rFonts w:ascii="Calibri" w:hAnsi="Calibri"/>
                <w:b w:val="0"/>
                <w:color w:val="17202A"/>
                <w:sz w:val="19"/>
              </w:rPr>
              <w:t>Compartibles por mercado/idioma</w:t>
            </w:r>
          </w:p>
        </w:tc>
      </w:tr>
      <w:tr>
        <w:tc>
          <w:tcPr>
            <w:tcW w:type="dxa" w:w="1900"/>
            <w:tcMar>
              <w:top w:w="80" w:type="dxa"/>
              <w:start w:w="120" w:type="dxa"/>
              <w:bottom w:w="80" w:type="dxa"/>
              <w:end w:w="120" w:type="dxa"/>
            </w:tcMar>
            <w:vAlign w:val="center"/>
          </w:tcPr>
          <w:p>
            <w:pPr>
              <w:spacing w:before="0" w:after="0" w:line="276" w:lineRule="auto"/>
            </w:pPr>
            <w:r>
              <w:rPr>
                <w:rFonts w:ascii="Calibri" w:hAnsi="Calibri"/>
                <w:b w:val="0"/>
                <w:color w:val="17202A"/>
                <w:sz w:val="19"/>
              </w:rPr>
              <w:t>robots.txt y sitemap.xml</w:t>
            </w:r>
          </w:p>
        </w:tc>
        <w:tc>
          <w:tcPr>
            <w:tcW w:type="dxa" w:w="3730"/>
            <w:tcMar>
              <w:top w:w="80" w:type="dxa"/>
              <w:start w:w="120" w:type="dxa"/>
              <w:bottom w:w="80" w:type="dxa"/>
              <w:end w:w="120" w:type="dxa"/>
            </w:tcMar>
            <w:vAlign w:val="center"/>
          </w:tcPr>
          <w:p>
            <w:pPr>
              <w:spacing w:before="0" w:after="0" w:line="276" w:lineRule="auto"/>
            </w:pPr>
            <w:r>
              <w:rPr>
                <w:rFonts w:ascii="Calibri" w:hAnsi="Calibri"/>
                <w:b w:val="0"/>
                <w:color w:val="17202A"/>
                <w:sz w:val="19"/>
              </w:rPr>
              <w:t>Cachear con TTL corto/medio y purga</w:t>
            </w:r>
          </w:p>
        </w:tc>
        <w:tc>
          <w:tcPr>
            <w:tcW w:type="dxa" w:w="3730"/>
            <w:tcMar>
              <w:top w:w="80" w:type="dxa"/>
              <w:start w:w="120" w:type="dxa"/>
              <w:bottom w:w="80" w:type="dxa"/>
              <w:end w:w="120" w:type="dxa"/>
            </w:tcMar>
            <w:vAlign w:val="center"/>
          </w:tcPr>
          <w:p>
            <w:pPr>
              <w:spacing w:before="0" w:after="0" w:line="276" w:lineRule="auto"/>
            </w:pPr>
            <w:r>
              <w:rPr>
                <w:rFonts w:ascii="Calibri" w:hAnsi="Calibri"/>
                <w:b w:val="0"/>
                <w:color w:val="17202A"/>
                <w:sz w:val="19"/>
              </w:rPr>
              <w:t>SEO; deben corresponder al mercado</w:t>
            </w:r>
          </w:p>
        </w:tc>
      </w:tr>
      <w:tr>
        <w:tc>
          <w:tcPr>
            <w:tcW w:type="dxa" w:w="1900"/>
            <w:tcMar>
              <w:top w:w="80" w:type="dxa"/>
              <w:start w:w="120" w:type="dxa"/>
              <w:bottom w:w="80" w:type="dxa"/>
              <w:end w:w="120" w:type="dxa"/>
            </w:tcMar>
            <w:vAlign w:val="center"/>
          </w:tcPr>
          <w:p>
            <w:pPr>
              <w:spacing w:before="0" w:after="0" w:line="276" w:lineRule="auto"/>
            </w:pPr>
            <w:r>
              <w:rPr>
                <w:rFonts w:ascii="Calibri" w:hAnsi="Calibri"/>
                <w:b w:val="0"/>
                <w:color w:val="17202A"/>
                <w:sz w:val="19"/>
              </w:rPr>
              <w:t>Home anónima</w:t>
            </w:r>
          </w:p>
        </w:tc>
        <w:tc>
          <w:tcPr>
            <w:tcW w:type="dxa" w:w="3730"/>
            <w:tcMar>
              <w:top w:w="80" w:type="dxa"/>
              <w:start w:w="120" w:type="dxa"/>
              <w:bottom w:w="80" w:type="dxa"/>
              <w:end w:w="120" w:type="dxa"/>
            </w:tcMar>
            <w:vAlign w:val="center"/>
          </w:tcPr>
          <w:p>
            <w:pPr>
              <w:spacing w:before="0" w:after="0" w:line="276" w:lineRule="auto"/>
            </w:pPr>
            <w:r>
              <w:rPr>
                <w:rFonts w:ascii="Calibri" w:hAnsi="Calibri"/>
                <w:b w:val="0"/>
                <w:color w:val="17202A"/>
                <w:sz w:val="19"/>
              </w:rPr>
              <w:t>Probar después de estáticos</w:t>
            </w:r>
          </w:p>
        </w:tc>
        <w:tc>
          <w:tcPr>
            <w:tcW w:type="dxa" w:w="3730"/>
            <w:tcMar>
              <w:top w:w="80" w:type="dxa"/>
              <w:start w:w="120" w:type="dxa"/>
              <w:bottom w:w="80" w:type="dxa"/>
              <w:end w:w="120" w:type="dxa"/>
            </w:tcMar>
            <w:vAlign w:val="center"/>
          </w:tcPr>
          <w:p>
            <w:pPr>
              <w:spacing w:before="0" w:after="0" w:line="276" w:lineRule="auto"/>
            </w:pPr>
            <w:r>
              <w:rPr>
                <w:rFonts w:ascii="Calibri" w:hAnsi="Calibri"/>
                <w:b w:val="0"/>
                <w:color w:val="17202A"/>
                <w:sz w:val="19"/>
              </w:rPr>
              <w:t>Puede variar por mercado, campaña, consentimiento o personalización</w:t>
            </w:r>
          </w:p>
        </w:tc>
      </w:tr>
      <w:tr>
        <w:tc>
          <w:tcPr>
            <w:tcW w:type="dxa" w:w="1900"/>
            <w:tcMar>
              <w:top w:w="80" w:type="dxa"/>
              <w:start w:w="120" w:type="dxa"/>
              <w:bottom w:w="80" w:type="dxa"/>
              <w:end w:w="120" w:type="dxa"/>
            </w:tcMar>
            <w:vAlign w:val="center"/>
          </w:tcPr>
          <w:p>
            <w:pPr>
              <w:spacing w:before="0" w:after="0" w:line="276" w:lineRule="auto"/>
            </w:pPr>
            <w:r>
              <w:rPr>
                <w:rFonts w:ascii="Calibri" w:hAnsi="Calibri"/>
                <w:b w:val="0"/>
                <w:color w:val="17202A"/>
                <w:sz w:val="19"/>
              </w:rPr>
              <w:t>Producto/categoría anónimos</w:t>
            </w:r>
          </w:p>
        </w:tc>
        <w:tc>
          <w:tcPr>
            <w:tcW w:type="dxa" w:w="3730"/>
            <w:tcMar>
              <w:top w:w="80" w:type="dxa"/>
              <w:start w:w="120" w:type="dxa"/>
              <w:bottom w:w="80" w:type="dxa"/>
              <w:end w:w="120" w:type="dxa"/>
            </w:tcMar>
            <w:vAlign w:val="center"/>
          </w:tcPr>
          <w:p>
            <w:pPr>
              <w:spacing w:before="0" w:after="0" w:line="276" w:lineRule="auto"/>
            </w:pPr>
            <w:r>
              <w:rPr>
                <w:rFonts w:ascii="Calibri" w:hAnsi="Calibri"/>
                <w:b w:val="0"/>
                <w:color w:val="17202A"/>
                <w:sz w:val="19"/>
              </w:rPr>
              <w:t>Piloto controlado</w:t>
            </w:r>
          </w:p>
        </w:tc>
        <w:tc>
          <w:tcPr>
            <w:tcW w:type="dxa" w:w="3730"/>
            <w:tcMar>
              <w:top w:w="80" w:type="dxa"/>
              <w:start w:w="120" w:type="dxa"/>
              <w:bottom w:w="80" w:type="dxa"/>
              <w:end w:w="120" w:type="dxa"/>
            </w:tcMar>
            <w:vAlign w:val="center"/>
          </w:tcPr>
          <w:p>
            <w:pPr>
              <w:spacing w:before="0" w:after="0" w:line="276" w:lineRule="auto"/>
            </w:pPr>
            <w:r>
              <w:rPr>
                <w:rFonts w:ascii="Calibri" w:hAnsi="Calibri"/>
                <w:b w:val="0"/>
                <w:color w:val="17202A"/>
                <w:sz w:val="19"/>
              </w:rPr>
              <w:t>Precio, stock, promociones y variantes pueden cambiar</w:t>
            </w:r>
          </w:p>
        </w:tc>
      </w:tr>
      <w:tr>
        <w:tc>
          <w:tcPr>
            <w:tcW w:type="dxa" w:w="1900"/>
            <w:tcMar>
              <w:top w:w="80" w:type="dxa"/>
              <w:start w:w="120" w:type="dxa"/>
              <w:bottom w:w="80" w:type="dxa"/>
              <w:end w:w="120" w:type="dxa"/>
            </w:tcMar>
            <w:vAlign w:val="center"/>
          </w:tcPr>
          <w:p>
            <w:pPr>
              <w:spacing w:before="0" w:after="0" w:line="276" w:lineRule="auto"/>
            </w:pPr>
            <w:r>
              <w:rPr>
                <w:rFonts w:ascii="Calibri" w:hAnsi="Calibri"/>
                <w:b w:val="0"/>
                <w:color w:val="17202A"/>
                <w:sz w:val="19"/>
              </w:rPr>
              <w:t>Localizador de tiendas</w:t>
            </w:r>
          </w:p>
        </w:tc>
        <w:tc>
          <w:tcPr>
            <w:tcW w:type="dxa" w:w="3730"/>
            <w:tcMar>
              <w:top w:w="80" w:type="dxa"/>
              <w:start w:w="120" w:type="dxa"/>
              <w:bottom w:w="80" w:type="dxa"/>
              <w:end w:w="120" w:type="dxa"/>
            </w:tcMar>
            <w:vAlign w:val="center"/>
          </w:tcPr>
          <w:p>
            <w:pPr>
              <w:spacing w:before="0" w:after="0" w:line="276" w:lineRule="auto"/>
            </w:pPr>
            <w:r>
              <w:rPr>
                <w:rFonts w:ascii="Calibri" w:hAnsi="Calibri"/>
                <w:b w:val="0"/>
                <w:color w:val="17202A"/>
                <w:sz w:val="19"/>
              </w:rPr>
              <w:t>Revisar parámetros y geolocalización</w:t>
            </w:r>
          </w:p>
        </w:tc>
        <w:tc>
          <w:tcPr>
            <w:tcW w:type="dxa" w:w="3730"/>
            <w:tcMar>
              <w:top w:w="80" w:type="dxa"/>
              <w:start w:w="120" w:type="dxa"/>
              <w:bottom w:w="80" w:type="dxa"/>
              <w:end w:w="120" w:type="dxa"/>
            </w:tcMar>
            <w:vAlign w:val="center"/>
          </w:tcPr>
          <w:p>
            <w:pPr>
              <w:spacing w:before="0" w:after="0" w:line="276" w:lineRule="auto"/>
            </w:pPr>
            <w:r>
              <w:rPr>
                <w:rFonts w:ascii="Calibri" w:hAnsi="Calibri"/>
                <w:b w:val="0"/>
                <w:color w:val="17202A"/>
                <w:sz w:val="19"/>
              </w:rPr>
              <w:t>Puede depender de búsqueda o ubicación</w:t>
            </w:r>
          </w:p>
        </w:tc>
      </w:tr>
      <w:tr>
        <w:tc>
          <w:tcPr>
            <w:tcW w:type="dxa" w:w="1900"/>
            <w:tcMar>
              <w:top w:w="80" w:type="dxa"/>
              <w:start w:w="120" w:type="dxa"/>
              <w:bottom w:w="80" w:type="dxa"/>
              <w:end w:w="120" w:type="dxa"/>
            </w:tcMar>
            <w:vAlign w:val="center"/>
          </w:tcPr>
          <w:p>
            <w:pPr>
              <w:spacing w:before="0" w:after="0" w:line="276" w:lineRule="auto"/>
            </w:pPr>
            <w:r>
              <w:rPr>
                <w:rFonts w:ascii="Calibri" w:hAnsi="Calibri"/>
                <w:b w:val="0"/>
                <w:color w:val="17202A"/>
                <w:sz w:val="19"/>
              </w:rPr>
              <w:t>API OCC pública de catálogo</w:t>
            </w:r>
          </w:p>
        </w:tc>
        <w:tc>
          <w:tcPr>
            <w:tcW w:type="dxa" w:w="3730"/>
            <w:tcMar>
              <w:top w:w="80" w:type="dxa"/>
              <w:start w:w="120" w:type="dxa"/>
              <w:bottom w:w="80" w:type="dxa"/>
              <w:end w:w="120" w:type="dxa"/>
            </w:tcMar>
            <w:vAlign w:val="center"/>
          </w:tcPr>
          <w:p>
            <w:pPr>
              <w:spacing w:before="0" w:after="0" w:line="276" w:lineRule="auto"/>
            </w:pPr>
            <w:r>
              <w:rPr>
                <w:rFonts w:ascii="Calibri" w:hAnsi="Calibri"/>
                <w:b w:val="0"/>
                <w:color w:val="17202A"/>
                <w:sz w:val="19"/>
              </w:rPr>
              <w:t>Solo endpoints y cabeceras probados</w:t>
            </w:r>
          </w:p>
        </w:tc>
        <w:tc>
          <w:tcPr>
            <w:tcW w:type="dxa" w:w="3730"/>
            <w:tcMar>
              <w:top w:w="80" w:type="dxa"/>
              <w:start w:w="120" w:type="dxa"/>
              <w:bottom w:w="80" w:type="dxa"/>
              <w:end w:w="120" w:type="dxa"/>
            </w:tcMar>
            <w:vAlign w:val="center"/>
          </w:tcPr>
          <w:p>
            <w:pPr>
              <w:spacing w:before="0" w:after="0" w:line="276" w:lineRule="auto"/>
            </w:pPr>
            <w:r>
              <w:rPr>
                <w:rFonts w:ascii="Calibri" w:hAnsi="Calibri"/>
                <w:b w:val="0"/>
                <w:color w:val="17202A"/>
                <w:sz w:val="19"/>
              </w:rPr>
              <w:t>JSON no se cachea por defecto y puede variar</w:t>
            </w:r>
          </w:p>
        </w:tc>
      </w:tr>
      <w:tr>
        <w:tc>
          <w:tcPr>
            <w:tcW w:type="dxa" w:w="1900"/>
            <w:tcMar>
              <w:top w:w="80" w:type="dxa"/>
              <w:start w:w="120" w:type="dxa"/>
              <w:bottom w:w="80" w:type="dxa"/>
              <w:end w:w="120" w:type="dxa"/>
            </w:tcMar>
            <w:vAlign w:val="center"/>
          </w:tcPr>
          <w:p>
            <w:pPr>
              <w:spacing w:before="0" w:after="0" w:line="276" w:lineRule="auto"/>
            </w:pPr>
            <w:r>
              <w:rPr>
                <w:rFonts w:ascii="Calibri" w:hAnsi="Calibri"/>
                <w:b w:val="0"/>
                <w:color w:val="17202A"/>
                <w:sz w:val="19"/>
              </w:rPr>
              <w:t>Login, cuenta, carrito, checkout, pedidos</w:t>
            </w:r>
          </w:p>
        </w:tc>
        <w:tc>
          <w:tcPr>
            <w:tcW w:type="dxa" w:w="3730"/>
            <w:tcMar>
              <w:top w:w="80" w:type="dxa"/>
              <w:start w:w="120" w:type="dxa"/>
              <w:bottom w:w="80" w:type="dxa"/>
              <w:end w:w="120" w:type="dxa"/>
            </w:tcMar>
            <w:vAlign w:val="center"/>
          </w:tcPr>
          <w:p>
            <w:pPr>
              <w:spacing w:before="0" w:after="0" w:line="276" w:lineRule="auto"/>
            </w:pPr>
            <w:r>
              <w:rPr>
                <w:rFonts w:ascii="Calibri" w:hAnsi="Calibri"/>
                <w:b w:val="0"/>
                <w:color w:val="17202A"/>
                <w:sz w:val="19"/>
              </w:rPr>
              <w:t>Bypass obligatorio</w:t>
            </w:r>
          </w:p>
        </w:tc>
        <w:tc>
          <w:tcPr>
            <w:tcW w:type="dxa" w:w="3730"/>
            <w:tcMar>
              <w:top w:w="80" w:type="dxa"/>
              <w:start w:w="120" w:type="dxa"/>
              <w:bottom w:w="80" w:type="dxa"/>
              <w:end w:w="120" w:type="dxa"/>
            </w:tcMar>
            <w:vAlign w:val="center"/>
          </w:tcPr>
          <w:p>
            <w:pPr>
              <w:spacing w:before="0" w:after="0" w:line="276" w:lineRule="auto"/>
            </w:pPr>
            <w:r>
              <w:rPr>
                <w:rFonts w:ascii="Calibri" w:hAnsi="Calibri"/>
                <w:b w:val="0"/>
                <w:color w:val="17202A"/>
                <w:sz w:val="19"/>
              </w:rPr>
              <w:t>Información personal y transaccional</w:t>
            </w:r>
          </w:p>
        </w:tc>
      </w:tr>
      <w:tr>
        <w:tc>
          <w:tcPr>
            <w:tcW w:type="dxa" w:w="1900"/>
            <w:tcMar>
              <w:top w:w="80" w:type="dxa"/>
              <w:start w:w="120" w:type="dxa"/>
              <w:bottom w:w="80" w:type="dxa"/>
              <w:end w:w="120" w:type="dxa"/>
            </w:tcMar>
            <w:vAlign w:val="center"/>
          </w:tcPr>
          <w:p>
            <w:pPr>
              <w:spacing w:before="0" w:after="0" w:line="276" w:lineRule="auto"/>
            </w:pPr>
            <w:r>
              <w:rPr>
                <w:rFonts w:ascii="Calibri" w:hAnsi="Calibri"/>
                <w:b w:val="0"/>
                <w:color w:val="17202A"/>
                <w:sz w:val="19"/>
              </w:rPr>
              <w:t>POST/PUT/PATCH/DELETE</w:t>
            </w:r>
          </w:p>
        </w:tc>
        <w:tc>
          <w:tcPr>
            <w:tcW w:type="dxa" w:w="3730"/>
            <w:tcMar>
              <w:top w:w="80" w:type="dxa"/>
              <w:start w:w="120" w:type="dxa"/>
              <w:bottom w:w="80" w:type="dxa"/>
              <w:end w:w="120" w:type="dxa"/>
            </w:tcMar>
            <w:vAlign w:val="center"/>
          </w:tcPr>
          <w:p>
            <w:pPr>
              <w:spacing w:before="0" w:after="0" w:line="276" w:lineRule="auto"/>
            </w:pPr>
            <w:r>
              <w:rPr>
                <w:rFonts w:ascii="Calibri" w:hAnsi="Calibri"/>
                <w:b w:val="0"/>
                <w:color w:val="17202A"/>
                <w:sz w:val="19"/>
              </w:rPr>
              <w:t>No cachear</w:t>
            </w:r>
          </w:p>
        </w:tc>
        <w:tc>
          <w:tcPr>
            <w:tcW w:type="dxa" w:w="3730"/>
            <w:tcMar>
              <w:top w:w="80" w:type="dxa"/>
              <w:start w:w="120" w:type="dxa"/>
              <w:bottom w:w="80" w:type="dxa"/>
              <w:end w:w="120" w:type="dxa"/>
            </w:tcMar>
            <w:vAlign w:val="center"/>
          </w:tcPr>
          <w:p>
            <w:pPr>
              <w:spacing w:before="0" w:after="0" w:line="276" w:lineRule="auto"/>
            </w:pPr>
            <w:r>
              <w:rPr>
                <w:rFonts w:ascii="Calibri" w:hAnsi="Calibri"/>
                <w:b w:val="0"/>
                <w:color w:val="17202A"/>
                <w:sz w:val="19"/>
              </w:rPr>
              <w:t>Operaciones con efectos o datos particulares</w:t>
            </w:r>
          </w:p>
        </w:tc>
      </w:tr>
      <w:tr>
        <w:tc>
          <w:tcPr>
            <w:tcW w:type="dxa" w:w="1900"/>
            <w:tcMar>
              <w:top w:w="80" w:type="dxa"/>
              <w:start w:w="120" w:type="dxa"/>
              <w:bottom w:w="80" w:type="dxa"/>
              <w:end w:w="120" w:type="dxa"/>
            </w:tcMar>
            <w:vAlign w:val="center"/>
          </w:tcPr>
          <w:p>
            <w:pPr>
              <w:spacing w:before="0" w:after="0" w:line="276" w:lineRule="auto"/>
            </w:pPr>
            <w:r>
              <w:rPr>
                <w:rFonts w:ascii="Calibri" w:hAnsi="Calibri"/>
                <w:b w:val="0"/>
                <w:color w:val="17202A"/>
                <w:sz w:val="19"/>
              </w:rPr>
              <w:t>Callbacks de pago e integraciones</w:t>
            </w:r>
          </w:p>
        </w:tc>
        <w:tc>
          <w:tcPr>
            <w:tcW w:type="dxa" w:w="3730"/>
            <w:tcMar>
              <w:top w:w="80" w:type="dxa"/>
              <w:start w:w="120" w:type="dxa"/>
              <w:bottom w:w="80" w:type="dxa"/>
              <w:end w:w="120" w:type="dxa"/>
            </w:tcMar>
            <w:vAlign w:val="center"/>
          </w:tcPr>
          <w:p>
            <w:pPr>
              <w:spacing w:before="0" w:after="0" w:line="276" w:lineRule="auto"/>
            </w:pPr>
            <w:r>
              <w:rPr>
                <w:rFonts w:ascii="Calibri" w:hAnsi="Calibri"/>
                <w:b w:val="0"/>
                <w:color w:val="17202A"/>
                <w:sz w:val="19"/>
              </w:rPr>
              <w:t>No cachear y evitar challenges</w:t>
            </w:r>
          </w:p>
        </w:tc>
        <w:tc>
          <w:tcPr>
            <w:tcW w:type="dxa" w:w="3730"/>
            <w:tcMar>
              <w:top w:w="80" w:type="dxa"/>
              <w:start w:w="120" w:type="dxa"/>
              <w:bottom w:w="80" w:type="dxa"/>
              <w:end w:w="120" w:type="dxa"/>
            </w:tcMar>
            <w:vAlign w:val="center"/>
          </w:tcPr>
          <w:p>
            <w:pPr>
              <w:spacing w:before="0" w:after="0" w:line="276" w:lineRule="auto"/>
            </w:pPr>
            <w:r>
              <w:rPr>
                <w:rFonts w:ascii="Calibri" w:hAnsi="Calibri"/>
                <w:b w:val="0"/>
                <w:color w:val="17202A"/>
                <w:sz w:val="19"/>
              </w:rPr>
              <w:t>Tráfico servidor a servidor</w:t>
            </w:r>
          </w:p>
        </w:tc>
      </w:tr>
    </w:tbl>
    <w:p>
      <w:pPr>
        <w:spacing w:before="0" w:after="40"/>
      </w:pPr>
    </w:p>
    <w:p>
      <w:pPr>
        <w:pStyle w:val="Heading2"/>
      </w:pPr>
      <w:r>
        <w:rPr>
          <w:rFonts w:ascii="Calibri" w:hAnsi="Calibri"/>
          <w:b/>
          <w:color w:val="2E74B5"/>
          <w:sz w:val="26"/>
        </w:rPr>
        <w:t>Comprobación del módulo</w:t>
      </w:r>
    </w:p>
    <w:p>
      <w:pPr>
        <w:numPr>
          <w:ilvl w:val="0"/>
          <w:numId w:val="17"/>
        </w:numPr>
      </w:pPr>
      <w:r>
        <w:rPr>
          <w:rFonts w:ascii="Calibri" w:hAnsi="Calibri"/>
          <w:b w:val="0"/>
          <w:color w:val="17202A"/>
          <w:sz w:val="22"/>
        </w:rPr>
        <w:t xml:space="preserve">¿Por qué </w:t>
      </w:r>
      <w:r>
        <w:rPr>
          <w:rFonts w:ascii="Courier New" w:hAnsi="Courier New"/>
          <w:color w:val="1F4D78"/>
          <w:sz w:val="21"/>
          <w:shd w:fill="EEF2F6"/>
        </w:rPr>
        <w:t>HIT</w:t>
      </w:r>
      <w:r>
        <w:rPr>
          <w:rFonts w:ascii="Calibri" w:hAnsi="Calibri"/>
          <w:b w:val="0"/>
          <w:color w:val="17202A"/>
          <w:sz w:val="22"/>
        </w:rPr>
        <w:t xml:space="preserve"> no significa necesariamente que la configuración sea correcta?</w:t>
      </w:r>
    </w:p>
    <w:p>
      <w:pPr>
        <w:numPr>
          <w:ilvl w:val="0"/>
          <w:numId w:val="17"/>
        </w:numPr>
      </w:pPr>
      <w:r>
        <w:rPr>
          <w:rFonts w:ascii="Calibri" w:hAnsi="Calibri"/>
          <w:b w:val="0"/>
          <w:color w:val="17202A"/>
          <w:sz w:val="22"/>
        </w:rPr>
        <w:t>¿Qué diferencia existe entre Edge TTL y Browser TTL?</w:t>
      </w:r>
    </w:p>
    <w:p>
      <w:pPr>
        <w:numPr>
          <w:ilvl w:val="0"/>
          <w:numId w:val="17"/>
        </w:numPr>
      </w:pPr>
      <w:r>
        <w:rPr>
          <w:rFonts w:ascii="Calibri" w:hAnsi="Calibri"/>
          <w:b w:val="0"/>
          <w:color w:val="17202A"/>
          <w:sz w:val="22"/>
        </w:rPr>
        <w:t>¿Por qué una purga total puede causar una incidencia?</w:t>
      </w:r>
    </w:p>
    <w:p>
      <w:pPr>
        <w:numPr>
          <w:ilvl w:val="0"/>
          <w:numId w:val="17"/>
        </w:numPr>
      </w:pPr>
      <w:r>
        <w:rPr>
          <w:rFonts w:ascii="Calibri" w:hAnsi="Calibri"/>
          <w:b w:val="0"/>
          <w:color w:val="17202A"/>
          <w:sz w:val="22"/>
        </w:rPr>
        <w:t>¿Qué aporta Smart Tiered Cache en Business?</w:t>
      </w:r>
    </w:p>
    <w:p>
      <w:pPr>
        <w:numPr>
          <w:ilvl w:val="0"/>
          <w:numId w:val="17"/>
        </w:numPr>
      </w:pPr>
      <w:r>
        <w:rPr>
          <w:rFonts w:ascii="Calibri" w:hAnsi="Calibri"/>
          <w:b w:val="0"/>
          <w:color w:val="17202A"/>
          <w:sz w:val="22"/>
        </w:rPr>
        <w:t>¿Qué variable funcional nunca debes ignorar en la query string sin validación?</w:t>
      </w:r>
    </w:p>
    <w:p>
      <w:pPr>
        <w:pStyle w:val="Heading1"/>
      </w:pPr>
      <w:r>
        <w:rPr>
          <w:rFonts w:ascii="Calibri" w:hAnsi="Calibri"/>
          <w:b/>
          <w:color w:val="2E74B5"/>
          <w:sz w:val="32"/>
        </w:rPr>
        <w:t>Módulo 4. Aplicación a SAP Commerce</w:t>
      </w:r>
    </w:p>
    <w:p>
      <w:pPr>
        <w:pStyle w:val="Heading2"/>
      </w:pPr>
      <w:r>
        <w:rPr>
          <w:rFonts w:ascii="Calibri" w:hAnsi="Calibri"/>
          <w:b/>
          <w:color w:val="2E74B5"/>
          <w:sz w:val="26"/>
        </w:rPr>
        <w:t>Objetivos</w:t>
      </w:r>
    </w:p>
    <w:p>
      <w:pPr>
        <w:numPr>
          <w:ilvl w:val="0"/>
          <w:numId w:val="10"/>
        </w:numPr>
      </w:pPr>
      <w:r>
        <w:rPr>
          <w:rFonts w:ascii="Calibri" w:hAnsi="Calibri"/>
          <w:b w:val="0"/>
          <w:color w:val="17202A"/>
          <w:sz w:val="22"/>
        </w:rPr>
        <w:t>Entender storefront composable y API OCC como superficies diferentes.</w:t>
      </w:r>
    </w:p>
    <w:p>
      <w:pPr>
        <w:numPr>
          <w:ilvl w:val="0"/>
          <w:numId w:val="10"/>
        </w:numPr>
      </w:pPr>
      <w:r>
        <w:rPr>
          <w:rFonts w:ascii="Calibri" w:hAnsi="Calibri"/>
          <w:b w:val="0"/>
          <w:color w:val="17202A"/>
          <w:sz w:val="22"/>
        </w:rPr>
        <w:t>Clasificar contenido público, personalizado y transaccional.</w:t>
      </w:r>
    </w:p>
    <w:p>
      <w:pPr>
        <w:numPr>
          <w:ilvl w:val="0"/>
          <w:numId w:val="10"/>
        </w:numPr>
      </w:pPr>
      <w:r>
        <w:rPr>
          <w:rFonts w:ascii="Calibri" w:hAnsi="Calibri"/>
          <w:b w:val="0"/>
          <w:color w:val="17202A"/>
          <w:sz w:val="22"/>
        </w:rPr>
        <w:t>Diseñar pruebas de caché para precio, stock y promociones.</w:t>
      </w:r>
    </w:p>
    <w:p>
      <w:pPr>
        <w:numPr>
          <w:ilvl w:val="0"/>
          <w:numId w:val="10"/>
        </w:numPr>
      </w:pPr>
      <w:r>
        <w:rPr>
          <w:rFonts w:ascii="Calibri" w:hAnsi="Calibri"/>
          <w:b w:val="0"/>
          <w:color w:val="17202A"/>
          <w:sz w:val="22"/>
        </w:rPr>
        <w:t>Coordinar CDN, cabeceras SAP y cachés internas.</w:t>
      </w:r>
    </w:p>
    <w:p>
      <w:pPr>
        <w:pStyle w:val="Heading2"/>
      </w:pPr>
      <w:r>
        <w:rPr>
          <w:rFonts w:ascii="Calibri" w:hAnsi="Calibri"/>
          <w:b/>
          <w:color w:val="2E74B5"/>
          <w:sz w:val="26"/>
        </w:rPr>
        <w:t>4.1. Storefront y API</w:t>
      </w:r>
    </w:p>
    <w:p>
      <w:r>
        <w:rPr>
          <w:rFonts w:ascii="Calibri" w:hAnsi="Calibri"/>
          <w:b w:val="0"/>
          <w:color w:val="17202A"/>
          <w:sz w:val="22"/>
        </w:rPr>
        <w:t>El storefront composable es una aplicación web que consume servicios de comercio. OCC expone catálogo, búsqueda, stock, carrito, usuario, promociones, vouchers y pedidos, entre otras capacidades. Aunque una API sea GET, no significa que su respuesta sea necesariamente pública o compartible.</w:t>
      </w:r>
    </w:p>
    <w:p>
      <w:r>
        <w:rPr>
          <w:rFonts w:ascii="Calibri" w:hAnsi="Calibri"/>
          <w:b w:val="0"/>
          <w:color w:val="17202A"/>
          <w:sz w:val="22"/>
        </w:rPr>
        <w:t>Ejemplos:</w:t>
      </w:r>
    </w:p>
    <w:p>
      <w:pPr>
        <w:numPr>
          <w:ilvl w:val="0"/>
          <w:numId w:val="10"/>
        </w:numPr>
      </w:pPr>
      <w:r>
        <w:rPr>
          <w:rFonts w:ascii="Calibri" w:hAnsi="Calibri"/>
          <w:b w:val="0"/>
          <w:color w:val="17202A"/>
          <w:sz w:val="22"/>
        </w:rPr>
        <w:t>GET de producto sin contexto: potencialmente compartible.</w:t>
      </w:r>
    </w:p>
    <w:p>
      <w:pPr>
        <w:numPr>
          <w:ilvl w:val="0"/>
          <w:numId w:val="10"/>
        </w:numPr>
      </w:pPr>
      <w:r>
        <w:rPr>
          <w:rFonts w:ascii="Calibri" w:hAnsi="Calibri"/>
          <w:b w:val="0"/>
          <w:color w:val="17202A"/>
          <w:sz w:val="22"/>
        </w:rPr>
        <w:t>GET de carrito: asociado a usuario o sesión; no compartible.</w:t>
      </w:r>
    </w:p>
    <w:p>
      <w:pPr>
        <w:numPr>
          <w:ilvl w:val="0"/>
          <w:numId w:val="10"/>
        </w:numPr>
      </w:pPr>
      <w:r>
        <w:rPr>
          <w:rFonts w:ascii="Calibri" w:hAnsi="Calibri"/>
          <w:b w:val="0"/>
          <w:color w:val="17202A"/>
          <w:sz w:val="22"/>
        </w:rPr>
        <w:t>GET de stock: compartible solo si mercado, tienda y momento están correctamente representados.</w:t>
      </w:r>
    </w:p>
    <w:p>
      <w:pPr>
        <w:numPr>
          <w:ilvl w:val="0"/>
          <w:numId w:val="10"/>
        </w:numPr>
      </w:pPr>
      <w:r>
        <w:rPr>
          <w:rFonts w:ascii="Calibri" w:hAnsi="Calibri"/>
          <w:b w:val="0"/>
          <w:color w:val="17202A"/>
          <w:sz w:val="22"/>
        </w:rPr>
        <w:t>GET de precio: puede variar por moneda, grupo, promociones o autenticación.</w:t>
      </w:r>
    </w:p>
    <w:p>
      <w:pPr>
        <w:pStyle w:val="Heading2"/>
      </w:pPr>
      <w:r>
        <w:rPr>
          <w:rFonts w:ascii="Calibri" w:hAnsi="Calibri"/>
          <w:b/>
          <w:color w:val="2E74B5"/>
          <w:sz w:val="26"/>
        </w:rPr>
        <w:t>4.2. Señales de personalización</w:t>
      </w:r>
    </w:p>
    <w:p>
      <w:r>
        <w:rPr>
          <w:rFonts w:ascii="Calibri" w:hAnsi="Calibri"/>
          <w:b w:val="0"/>
          <w:color w:val="17202A"/>
          <w:sz w:val="22"/>
        </w:rPr>
        <w:t>Antes de cachear una respuesta deben inventariarse:</w:t>
      </w:r>
    </w:p>
    <w:p>
      <w:pPr>
        <w:numPr>
          <w:ilvl w:val="0"/>
          <w:numId w:val="10"/>
        </w:numPr>
      </w:pPr>
      <w:r>
        <w:rPr>
          <w:rFonts w:ascii="Calibri" w:hAnsi="Calibri"/>
          <w:b w:val="0"/>
          <w:color w:val="17202A"/>
          <w:sz w:val="22"/>
        </w:rPr>
        <w:t>Cookies de sesión y consentimiento.</w:t>
      </w:r>
    </w:p>
    <w:p>
      <w:pPr>
        <w:numPr>
          <w:ilvl w:val="0"/>
          <w:numId w:val="10"/>
        </w:numPr>
      </w:pPr>
      <w:r>
        <w:rPr>
          <w:rFonts w:ascii="Calibri" w:hAnsi="Calibri"/>
          <w:b w:val="0"/>
          <w:color w:val="17202A"/>
          <w:sz w:val="22"/>
        </w:rPr>
        <w:t>Cabecera Authorization y tokens OAuth.</w:t>
      </w:r>
    </w:p>
    <w:p>
      <w:pPr>
        <w:numPr>
          <w:ilvl w:val="0"/>
          <w:numId w:val="10"/>
        </w:numPr>
      </w:pPr>
      <w:r>
        <w:rPr>
          <w:rFonts w:ascii="Calibri" w:hAnsi="Calibri"/>
          <w:b w:val="0"/>
          <w:color w:val="17202A"/>
          <w:sz w:val="22"/>
        </w:rPr>
        <w:t>Idioma y mercado.</w:t>
      </w:r>
    </w:p>
    <w:p>
      <w:pPr>
        <w:numPr>
          <w:ilvl w:val="0"/>
          <w:numId w:val="10"/>
        </w:numPr>
      </w:pPr>
      <w:r>
        <w:rPr>
          <w:rFonts w:ascii="Calibri" w:hAnsi="Calibri"/>
          <w:b w:val="0"/>
          <w:color w:val="17202A"/>
          <w:sz w:val="22"/>
        </w:rPr>
        <w:t>Moneda.</w:t>
      </w:r>
    </w:p>
    <w:p>
      <w:pPr>
        <w:numPr>
          <w:ilvl w:val="0"/>
          <w:numId w:val="10"/>
        </w:numPr>
      </w:pPr>
      <w:r>
        <w:rPr>
          <w:rFonts w:ascii="Calibri" w:hAnsi="Calibri"/>
          <w:b w:val="0"/>
          <w:color w:val="17202A"/>
          <w:sz w:val="22"/>
        </w:rPr>
        <w:t>Grupo de cliente.</w:t>
      </w:r>
    </w:p>
    <w:p>
      <w:pPr>
        <w:numPr>
          <w:ilvl w:val="0"/>
          <w:numId w:val="10"/>
        </w:numPr>
      </w:pPr>
      <w:r>
        <w:rPr>
          <w:rFonts w:ascii="Calibri" w:hAnsi="Calibri"/>
          <w:b w:val="0"/>
          <w:color w:val="17202A"/>
          <w:sz w:val="22"/>
        </w:rPr>
        <w:t>Tienda o código postal.</w:t>
      </w:r>
    </w:p>
    <w:p>
      <w:pPr>
        <w:numPr>
          <w:ilvl w:val="0"/>
          <w:numId w:val="10"/>
        </w:numPr>
      </w:pPr>
      <w:r>
        <w:rPr>
          <w:rFonts w:ascii="Calibri" w:hAnsi="Calibri"/>
          <w:b w:val="0"/>
          <w:color w:val="17202A"/>
          <w:sz w:val="22"/>
        </w:rPr>
        <w:t>Segmentos de personalización.</w:t>
      </w:r>
    </w:p>
    <w:p>
      <w:pPr>
        <w:numPr>
          <w:ilvl w:val="0"/>
          <w:numId w:val="10"/>
        </w:numPr>
      </w:pPr>
      <w:r>
        <w:rPr>
          <w:rFonts w:ascii="Calibri" w:hAnsi="Calibri"/>
          <w:b w:val="0"/>
          <w:color w:val="17202A"/>
          <w:sz w:val="22"/>
        </w:rPr>
        <w:t>Experimentos A/B.</w:t>
      </w:r>
    </w:p>
    <w:p>
      <w:pPr>
        <w:numPr>
          <w:ilvl w:val="0"/>
          <w:numId w:val="10"/>
        </w:numPr>
      </w:pPr>
      <w:r>
        <w:rPr>
          <w:rFonts w:ascii="Calibri" w:hAnsi="Calibri"/>
          <w:b w:val="0"/>
          <w:color w:val="17202A"/>
          <w:sz w:val="22"/>
        </w:rPr>
        <w:t>Dispositivo si cambia el HTML.</w:t>
      </w:r>
    </w:p>
    <w:p>
      <w:pPr>
        <w:numPr>
          <w:ilvl w:val="0"/>
          <w:numId w:val="10"/>
        </w:numPr>
      </w:pPr>
      <w:r>
        <w:rPr>
          <w:rFonts w:ascii="Calibri" w:hAnsi="Calibri"/>
          <w:b w:val="0"/>
          <w:color w:val="17202A"/>
          <w:sz w:val="22"/>
        </w:rPr>
        <w:t>Parámetros funcionales de query string.</w:t>
      </w:r>
    </w:p>
    <w:p>
      <w:r>
        <w:rPr>
          <w:rFonts w:ascii="Calibri" w:hAnsi="Calibri"/>
          <w:b w:val="0"/>
          <w:color w:val="17202A"/>
          <w:sz w:val="22"/>
        </w:rPr>
        <w:t>Cuando la cardinalidad es alta o la señal identifica a un usuario, suele ser mejor hacer bypass que multiplicar variantes en caché.</w:t>
      </w:r>
    </w:p>
    <w:p>
      <w:pPr>
        <w:pStyle w:val="Heading2"/>
      </w:pPr>
      <w:r>
        <w:rPr>
          <w:rFonts w:ascii="Calibri" w:hAnsi="Calibri"/>
          <w:b/>
          <w:color w:val="2E74B5"/>
          <w:sz w:val="26"/>
        </w:rPr>
        <w:t>4.3. Precio, stock y promociones</w:t>
      </w:r>
    </w:p>
    <w:p>
      <w:r>
        <w:rPr>
          <w:rFonts w:ascii="Calibri" w:hAnsi="Calibri"/>
          <w:b w:val="0"/>
          <w:color w:val="17202A"/>
          <w:sz w:val="22"/>
        </w:rPr>
        <w:t>Son los tres ámbitos que más fácilmente convierten una mejora de rendimiento en un error de negocio.</w:t>
      </w:r>
    </w:p>
    <w:p>
      <w:pPr>
        <w:pStyle w:val="Heading3"/>
      </w:pPr>
      <w:r>
        <w:rPr>
          <w:rFonts w:ascii="Calibri" w:hAnsi="Calibri"/>
          <w:b/>
          <w:color w:val="1F4D78"/>
          <w:sz w:val="24"/>
        </w:rPr>
        <w:t>Precio</w:t>
      </w:r>
    </w:p>
    <w:p>
      <w:r>
        <w:rPr>
          <w:rFonts w:ascii="Calibri" w:hAnsi="Calibri"/>
          <w:b w:val="0"/>
          <w:color w:val="17202A"/>
          <w:sz w:val="22"/>
        </w:rPr>
        <w:t>Definir tolerancia de antigüedad y variantes. Comprobar precio base, rebajas, cupones, cliente autenticado, mercado y moneda.</w:t>
      </w:r>
    </w:p>
    <w:p>
      <w:pPr>
        <w:pStyle w:val="Heading3"/>
      </w:pPr>
      <w:r>
        <w:rPr>
          <w:rFonts w:ascii="Calibri" w:hAnsi="Calibri"/>
          <w:b/>
          <w:color w:val="1F4D78"/>
          <w:sz w:val="24"/>
        </w:rPr>
        <w:t>Stock</w:t>
      </w:r>
    </w:p>
    <w:p>
      <w:r>
        <w:rPr>
          <w:rFonts w:ascii="Calibri" w:hAnsi="Calibri"/>
          <w:b w:val="0"/>
          <w:color w:val="17202A"/>
          <w:sz w:val="22"/>
        </w:rPr>
        <w:t>Puede cambiar con mucha frecuencia y depender de tienda o código postal. Un TTL corto reduce carga, pero sigue necesitando una regla de coherencia aceptada por negocio.</w:t>
      </w:r>
    </w:p>
    <w:p>
      <w:pPr>
        <w:pStyle w:val="Heading3"/>
      </w:pPr>
      <w:r>
        <w:rPr>
          <w:rFonts w:ascii="Calibri" w:hAnsi="Calibri"/>
          <w:b/>
          <w:color w:val="1F4D78"/>
          <w:sz w:val="24"/>
        </w:rPr>
        <w:t>Promociones</w:t>
      </w:r>
    </w:p>
    <w:p>
      <w:r>
        <w:rPr>
          <w:rFonts w:ascii="Calibri" w:hAnsi="Calibri"/>
          <w:b w:val="0"/>
          <w:color w:val="17202A"/>
          <w:sz w:val="22"/>
        </w:rPr>
        <w:t>Las campañas pueden comenzar o terminar a una hora concreta. Además del TTL, se necesita una purga vinculada a publicación y retirada.</w:t>
      </w:r>
    </w:p>
    <w:p>
      <w:pPr>
        <w:pStyle w:val="Heading2"/>
      </w:pPr>
      <w:r>
        <w:rPr>
          <w:rFonts w:ascii="Calibri" w:hAnsi="Calibri"/>
          <w:b/>
          <w:color w:val="2E74B5"/>
          <w:sz w:val="26"/>
        </w:rPr>
        <w:t>4.4. Caché de SAP y caché de Cloudflare</w:t>
      </w:r>
    </w:p>
    <w:p>
      <w:r>
        <w:rPr>
          <w:rFonts w:ascii="Calibri" w:hAnsi="Calibri"/>
          <w:b w:val="0"/>
          <w:color w:val="17202A"/>
          <w:sz w:val="22"/>
        </w:rPr>
        <w:t xml:space="preserve">SAP documenta mecanismos de caché en OCC y cabeceras </w:t>
      </w:r>
      <w:r>
        <w:rPr>
          <w:rFonts w:ascii="Courier New" w:hAnsi="Courier New"/>
          <w:color w:val="1F4D78"/>
          <w:sz w:val="21"/>
          <w:shd w:fill="EEF2F6"/>
        </w:rPr>
        <w:t>Cache-Control</w:t>
      </w:r>
      <w:r>
        <w:rPr>
          <w:rFonts w:ascii="Calibri" w:hAnsi="Calibri"/>
          <w:b w:val="0"/>
          <w:color w:val="17202A"/>
          <w:sz w:val="22"/>
        </w:rPr>
        <w:t>. También recomienda una CDN externa en producción y advierte que TTL desalineados entre capas pueden interferir.</w:t>
      </w:r>
    </w:p>
    <w:p>
      <w:r>
        <w:rPr>
          <w:rFonts w:ascii="Calibri" w:hAnsi="Calibri"/>
          <w:b w:val="0"/>
          <w:color w:val="17202A"/>
          <w:sz w:val="22"/>
        </w:rPr>
        <w:t>Modelo de responsabilidad:</w:t>
      </w:r>
    </w:p>
    <w:p>
      <w:pPr>
        <w:numPr>
          <w:ilvl w:val="0"/>
          <w:numId w:val="10"/>
        </w:numPr>
      </w:pPr>
      <w:r>
        <w:rPr>
          <w:rFonts w:ascii="Calibri" w:hAnsi="Calibri"/>
          <w:b w:val="0"/>
          <w:color w:val="17202A"/>
          <w:sz w:val="22"/>
        </w:rPr>
        <w:t>SAP define semántica: qué es público, cuánto puede durar y qué invalida el objeto.</w:t>
      </w:r>
    </w:p>
    <w:p>
      <w:pPr>
        <w:numPr>
          <w:ilvl w:val="0"/>
          <w:numId w:val="10"/>
        </w:numPr>
      </w:pPr>
      <w:r>
        <w:rPr>
          <w:rFonts w:ascii="Calibri" w:hAnsi="Calibri"/>
          <w:b w:val="0"/>
          <w:color w:val="17202A"/>
          <w:sz w:val="22"/>
        </w:rPr>
        <w:t>Cloudflare ejecuta la política de edge y protege el origen.</w:t>
      </w:r>
    </w:p>
    <w:p>
      <w:pPr>
        <w:numPr>
          <w:ilvl w:val="0"/>
          <w:numId w:val="10"/>
        </w:numPr>
      </w:pPr>
      <w:r>
        <w:rPr>
          <w:rFonts w:ascii="Calibri" w:hAnsi="Calibri"/>
          <w:b w:val="0"/>
          <w:color w:val="17202A"/>
          <w:sz w:val="22"/>
        </w:rPr>
        <w:t>El equipo de ecommerce define tolerancia funcional y pruebas.</w:t>
      </w:r>
    </w:p>
    <w:p>
      <w:pPr>
        <w:numPr>
          <w:ilvl w:val="0"/>
          <w:numId w:val="10"/>
        </w:numPr>
      </w:pPr>
      <w:r>
        <w:rPr>
          <w:rFonts w:ascii="Calibri" w:hAnsi="Calibri"/>
          <w:b w:val="0"/>
          <w:color w:val="17202A"/>
          <w:sz w:val="22"/>
        </w:rPr>
        <w:t>Operaciones verifica observabilidad y capacidad de purga.</w:t>
      </w:r>
    </w:p>
    <w:p>
      <w:pPr>
        <w:pStyle w:val="Heading2"/>
      </w:pPr>
      <w:r>
        <w:rPr>
          <w:rFonts w:ascii="Calibri" w:hAnsi="Calibri"/>
          <w:b/>
          <w:color w:val="2E74B5"/>
          <w:sz w:val="26"/>
        </w:rPr>
        <w:t>4.5. Plan de pruebas de una ruta cacheable</w:t>
      </w:r>
    </w:p>
    <w:p>
      <w:pPr>
        <w:numPr>
          <w:ilvl w:val="0"/>
          <w:numId w:val="18"/>
        </w:numPr>
      </w:pPr>
      <w:r>
        <w:rPr>
          <w:rFonts w:ascii="Calibri" w:hAnsi="Calibri"/>
          <w:b w:val="0"/>
          <w:color w:val="17202A"/>
          <w:sz w:val="22"/>
        </w:rPr>
        <w:t>Probar usuario anónimo sin cookies.</w:t>
      </w:r>
    </w:p>
    <w:p>
      <w:pPr>
        <w:numPr>
          <w:ilvl w:val="0"/>
          <w:numId w:val="18"/>
        </w:numPr>
      </w:pPr>
      <w:r>
        <w:rPr>
          <w:rFonts w:ascii="Calibri" w:hAnsi="Calibri"/>
          <w:b w:val="0"/>
          <w:color w:val="17202A"/>
          <w:sz w:val="22"/>
        </w:rPr>
        <w:t>Repetir desde dos ubicaciones o sesiones.</w:t>
      </w:r>
    </w:p>
    <w:p>
      <w:pPr>
        <w:numPr>
          <w:ilvl w:val="0"/>
          <w:numId w:val="18"/>
        </w:numPr>
      </w:pPr>
      <w:r>
        <w:rPr>
          <w:rFonts w:ascii="Calibri" w:hAnsi="Calibri"/>
          <w:b w:val="0"/>
          <w:color w:val="17202A"/>
          <w:sz w:val="22"/>
        </w:rPr>
        <w:t>Añadir cookies de consentimiento y sesión.</w:t>
      </w:r>
    </w:p>
    <w:p>
      <w:pPr>
        <w:numPr>
          <w:ilvl w:val="0"/>
          <w:numId w:val="18"/>
        </w:numPr>
      </w:pPr>
      <w:r>
        <w:rPr>
          <w:rFonts w:ascii="Calibri" w:hAnsi="Calibri"/>
          <w:b w:val="0"/>
          <w:color w:val="17202A"/>
          <w:sz w:val="22"/>
        </w:rPr>
        <w:t>Probar autenticación.</w:t>
      </w:r>
    </w:p>
    <w:p>
      <w:pPr>
        <w:numPr>
          <w:ilvl w:val="0"/>
          <w:numId w:val="18"/>
        </w:numPr>
      </w:pPr>
      <w:r>
        <w:rPr>
          <w:rFonts w:ascii="Calibri" w:hAnsi="Calibri"/>
          <w:b w:val="0"/>
          <w:color w:val="17202A"/>
          <w:sz w:val="22"/>
        </w:rPr>
        <w:t>Cambiar idioma, mercado y query string.</w:t>
      </w:r>
    </w:p>
    <w:p>
      <w:pPr>
        <w:numPr>
          <w:ilvl w:val="0"/>
          <w:numId w:val="18"/>
        </w:numPr>
      </w:pPr>
      <w:r>
        <w:rPr>
          <w:rFonts w:ascii="Calibri" w:hAnsi="Calibri"/>
          <w:b w:val="0"/>
          <w:color w:val="17202A"/>
          <w:sz w:val="22"/>
        </w:rPr>
        <w:t>Cambiar precio/stock/promoción en origen.</w:t>
      </w:r>
    </w:p>
    <w:p>
      <w:pPr>
        <w:numPr>
          <w:ilvl w:val="0"/>
          <w:numId w:val="18"/>
        </w:numPr>
      </w:pPr>
      <w:r>
        <w:rPr>
          <w:rFonts w:ascii="Calibri" w:hAnsi="Calibri"/>
          <w:b w:val="0"/>
          <w:color w:val="17202A"/>
          <w:sz w:val="22"/>
        </w:rPr>
        <w:t>Verificar TTL y purga.</w:t>
      </w:r>
    </w:p>
    <w:p>
      <w:pPr>
        <w:numPr>
          <w:ilvl w:val="0"/>
          <w:numId w:val="18"/>
        </w:numPr>
      </w:pPr>
      <w:r>
        <w:rPr>
          <w:rFonts w:ascii="Calibri" w:hAnsi="Calibri"/>
          <w:b w:val="0"/>
          <w:color w:val="17202A"/>
          <w:sz w:val="22"/>
        </w:rPr>
        <w:t xml:space="preserve">Inspeccionar </w:t>
      </w:r>
      <w:r>
        <w:rPr>
          <w:rFonts w:ascii="Courier New" w:hAnsi="Courier New"/>
          <w:color w:val="1F4D78"/>
          <w:sz w:val="21"/>
          <w:shd w:fill="EEF2F6"/>
        </w:rPr>
        <w:t>CF-Cache-Status</w:t>
      </w:r>
      <w:r>
        <w:rPr>
          <w:rFonts w:ascii="Calibri" w:hAnsi="Calibri"/>
          <w:b w:val="0"/>
          <w:color w:val="17202A"/>
          <w:sz w:val="22"/>
        </w:rPr>
        <w:t xml:space="preserve">, </w:t>
      </w:r>
      <w:r>
        <w:rPr>
          <w:rFonts w:ascii="Courier New" w:hAnsi="Courier New"/>
          <w:color w:val="1F4D78"/>
          <w:sz w:val="21"/>
          <w:shd w:fill="EEF2F6"/>
        </w:rPr>
        <w:t>Age</w:t>
      </w:r>
      <w:r>
        <w:rPr>
          <w:rFonts w:ascii="Calibri" w:hAnsi="Calibri"/>
          <w:b w:val="0"/>
          <w:color w:val="17202A"/>
          <w:sz w:val="22"/>
        </w:rPr>
        <w:t xml:space="preserve">, </w:t>
      </w:r>
      <w:r>
        <w:rPr>
          <w:rFonts w:ascii="Courier New" w:hAnsi="Courier New"/>
          <w:color w:val="1F4D78"/>
          <w:sz w:val="21"/>
          <w:shd w:fill="EEF2F6"/>
        </w:rPr>
        <w:t>Cache-Control</w:t>
      </w:r>
      <w:r>
        <w:rPr>
          <w:rFonts w:ascii="Calibri" w:hAnsi="Calibri"/>
          <w:b w:val="0"/>
          <w:color w:val="17202A"/>
          <w:sz w:val="22"/>
        </w:rPr>
        <w:t xml:space="preserve"> y </w:t>
      </w:r>
      <w:r>
        <w:rPr>
          <w:rFonts w:ascii="Courier New" w:hAnsi="Courier New"/>
          <w:color w:val="1F4D78"/>
          <w:sz w:val="21"/>
          <w:shd w:fill="EEF2F6"/>
        </w:rPr>
        <w:t>Set-Cookie</w:t>
      </w:r>
      <w:r>
        <w:rPr>
          <w:rFonts w:ascii="Calibri" w:hAnsi="Calibri"/>
          <w:b w:val="0"/>
          <w:color w:val="17202A"/>
          <w:sz w:val="22"/>
        </w:rPr>
        <w:t>.</w:t>
      </w:r>
    </w:p>
    <w:p>
      <w:pPr>
        <w:numPr>
          <w:ilvl w:val="0"/>
          <w:numId w:val="18"/>
        </w:numPr>
      </w:pPr>
      <w:r>
        <w:rPr>
          <w:rFonts w:ascii="Calibri" w:hAnsi="Calibri"/>
          <w:b w:val="0"/>
          <w:color w:val="17202A"/>
          <w:sz w:val="22"/>
        </w:rPr>
        <w:t>Confirmar que no aparece información de otro usuario.</w:t>
      </w:r>
    </w:p>
    <w:p>
      <w:pPr>
        <w:numPr>
          <w:ilvl w:val="0"/>
          <w:numId w:val="18"/>
        </w:numPr>
      </w:pPr>
      <w:r>
        <w:rPr>
          <w:rFonts w:ascii="Calibri" w:hAnsi="Calibri"/>
          <w:b w:val="0"/>
          <w:color w:val="17202A"/>
          <w:sz w:val="22"/>
        </w:rPr>
        <w:t>Medir TTFB y peticiones al origen.</w:t>
      </w:r>
    </w:p>
    <w:p>
      <w:pPr>
        <w:pStyle w:val="Heading2"/>
      </w:pPr>
      <w:r>
        <w:rPr>
          <w:rFonts w:ascii="Calibri" w:hAnsi="Calibri"/>
          <w:b/>
          <w:color w:val="2E74B5"/>
          <w:sz w:val="26"/>
        </w:rPr>
        <w:t>4.6. CORS y APIs</w:t>
      </w:r>
    </w:p>
    <w:p>
      <w:r>
        <w:rPr>
          <w:rFonts w:ascii="Calibri" w:hAnsi="Calibri"/>
          <w:b w:val="0"/>
          <w:color w:val="17202A"/>
          <w:sz w:val="22"/>
        </w:rPr>
        <w:t>Si storefront y API usan hostnames distintos, el navegador aplica CORS. Cloudflare no corrige automáticamente una política CORS incorrecta. Deben preservarse:</w:t>
      </w:r>
    </w:p>
    <w:p>
      <w:pPr>
        <w:numPr>
          <w:ilvl w:val="0"/>
          <w:numId w:val="10"/>
        </w:numPr>
      </w:pPr>
      <w:r>
        <w:rPr>
          <w:rFonts w:ascii="Courier New" w:hAnsi="Courier New"/>
          <w:color w:val="1F4D78"/>
          <w:sz w:val="21"/>
          <w:shd w:fill="EEF2F6"/>
        </w:rPr>
        <w:t>Access-Control-Allow-Origin</w:t>
      </w:r>
      <w:r>
        <w:rPr>
          <w:rFonts w:ascii="Calibri" w:hAnsi="Calibri"/>
          <w:b w:val="0"/>
          <w:color w:val="17202A"/>
          <w:sz w:val="22"/>
        </w:rPr>
        <w:t>.</w:t>
      </w:r>
    </w:p>
    <w:p>
      <w:pPr>
        <w:numPr>
          <w:ilvl w:val="0"/>
          <w:numId w:val="10"/>
        </w:numPr>
      </w:pPr>
      <w:r>
        <w:rPr>
          <w:rFonts w:ascii="Courier New" w:hAnsi="Courier New"/>
          <w:color w:val="1F4D78"/>
          <w:sz w:val="21"/>
          <w:shd w:fill="EEF2F6"/>
        </w:rPr>
        <w:t>Access-Control-Allow-Credentials</w:t>
      </w:r>
      <w:r>
        <w:rPr>
          <w:rFonts w:ascii="Calibri" w:hAnsi="Calibri"/>
          <w:b w:val="0"/>
          <w:color w:val="17202A"/>
          <w:sz w:val="22"/>
        </w:rPr>
        <w:t>.</w:t>
      </w:r>
    </w:p>
    <w:p>
      <w:pPr>
        <w:numPr>
          <w:ilvl w:val="0"/>
          <w:numId w:val="10"/>
        </w:numPr>
      </w:pPr>
      <w:r>
        <w:rPr>
          <w:rFonts w:ascii="Calibri" w:hAnsi="Calibri"/>
          <w:b w:val="0"/>
          <w:color w:val="17202A"/>
          <w:sz w:val="22"/>
        </w:rPr>
        <w:t>Métodos y cabeceras permitidos.</w:t>
      </w:r>
    </w:p>
    <w:p>
      <w:pPr>
        <w:numPr>
          <w:ilvl w:val="0"/>
          <w:numId w:val="10"/>
        </w:numPr>
      </w:pPr>
      <w:r>
        <w:rPr>
          <w:rFonts w:ascii="Calibri" w:hAnsi="Calibri"/>
          <w:b w:val="0"/>
          <w:color w:val="17202A"/>
          <w:sz w:val="22"/>
        </w:rPr>
        <w:t>Respuestas OPTIONS/preflight.</w:t>
      </w:r>
    </w:p>
    <w:p>
      <w:pPr>
        <w:numPr>
          <w:ilvl w:val="0"/>
          <w:numId w:val="10"/>
        </w:numPr>
      </w:pPr>
      <w:r>
        <w:rPr>
          <w:rFonts w:ascii="Calibri" w:hAnsi="Calibri"/>
          <w:b w:val="0"/>
          <w:color w:val="17202A"/>
          <w:sz w:val="22"/>
        </w:rPr>
        <w:t>Variación por Origin cuando corresponda.</w:t>
      </w:r>
    </w:p>
    <w:p>
      <w:r>
        <w:rPr>
          <w:rFonts w:ascii="Calibri" w:hAnsi="Calibri"/>
          <w:b w:val="0"/>
          <w:color w:val="17202A"/>
          <w:sz w:val="22"/>
        </w:rPr>
        <w:t>Cachear una respuesta CORS sin representar correctamente el Origin puede servir cabeceras equivocadas a otro frontend.</w:t>
      </w:r>
    </w:p>
    <w:p>
      <w:pPr>
        <w:pStyle w:val="Heading1"/>
      </w:pPr>
      <w:r>
        <w:rPr>
          <w:rFonts w:ascii="Calibri" w:hAnsi="Calibri"/>
          <w:b/>
          <w:color w:val="2E74B5"/>
          <w:sz w:val="32"/>
        </w:rPr>
        <w:t>Módulo 5. Seguridad en Cloudflare Business</w:t>
      </w:r>
    </w:p>
    <w:p>
      <w:pPr>
        <w:pStyle w:val="Heading2"/>
      </w:pPr>
      <w:r>
        <w:rPr>
          <w:rFonts w:ascii="Calibri" w:hAnsi="Calibri"/>
          <w:b/>
          <w:color w:val="2E74B5"/>
          <w:sz w:val="26"/>
        </w:rPr>
        <w:t>Objetivos</w:t>
      </w:r>
    </w:p>
    <w:p>
      <w:pPr>
        <w:numPr>
          <w:ilvl w:val="0"/>
          <w:numId w:val="10"/>
        </w:numPr>
      </w:pPr>
      <w:r>
        <w:rPr>
          <w:rFonts w:ascii="Calibri" w:hAnsi="Calibri"/>
          <w:b w:val="0"/>
          <w:color w:val="17202A"/>
          <w:sz w:val="22"/>
        </w:rPr>
        <w:t>Distinguir protección DDoS, WAF, reglas personalizadas, bots y rate limiting.</w:t>
      </w:r>
    </w:p>
    <w:p>
      <w:pPr>
        <w:numPr>
          <w:ilvl w:val="0"/>
          <w:numId w:val="10"/>
        </w:numPr>
      </w:pPr>
      <w:r>
        <w:rPr>
          <w:rFonts w:ascii="Calibri" w:hAnsi="Calibri"/>
          <w:b w:val="0"/>
          <w:color w:val="17202A"/>
          <w:sz w:val="22"/>
        </w:rPr>
        <w:t>Comprender el orden de ejecución.</w:t>
      </w:r>
    </w:p>
    <w:p>
      <w:pPr>
        <w:numPr>
          <w:ilvl w:val="0"/>
          <w:numId w:val="10"/>
        </w:numPr>
      </w:pPr>
      <w:r>
        <w:rPr>
          <w:rFonts w:ascii="Calibri" w:hAnsi="Calibri"/>
          <w:b w:val="0"/>
          <w:color w:val="17202A"/>
          <w:sz w:val="22"/>
        </w:rPr>
        <w:t>Diseñar excepciones para pagos, bots legítimos y monitorización.</w:t>
      </w:r>
    </w:p>
    <w:p>
      <w:pPr>
        <w:numPr>
          <w:ilvl w:val="0"/>
          <w:numId w:val="10"/>
        </w:numPr>
      </w:pPr>
      <w:r>
        <w:rPr>
          <w:rFonts w:ascii="Calibri" w:hAnsi="Calibri"/>
          <w:b w:val="0"/>
          <w:color w:val="17202A"/>
          <w:sz w:val="22"/>
        </w:rPr>
        <w:t>Proteger el origen sin destruir el rollback.</w:t>
      </w:r>
    </w:p>
    <w:p>
      <w:pPr>
        <w:pStyle w:val="Heading2"/>
      </w:pPr>
      <w:r>
        <w:rPr>
          <w:rFonts w:ascii="Calibri" w:hAnsi="Calibri"/>
          <w:b/>
          <w:color w:val="2E74B5"/>
          <w:sz w:val="26"/>
        </w:rPr>
        <w:t>5.1. Capas de seguridad</w:t>
      </w:r>
    </w:p>
    <w:p>
      <w:pPr>
        <w:pStyle w:val="Heading3"/>
      </w:pPr>
      <w:r>
        <w:rPr>
          <w:rFonts w:ascii="Calibri" w:hAnsi="Calibri"/>
          <w:b/>
          <w:color w:val="1F4D78"/>
          <w:sz w:val="24"/>
        </w:rPr>
        <w:t>DDoS</w:t>
      </w:r>
    </w:p>
    <w:p>
      <w:r>
        <w:rPr>
          <w:rFonts w:ascii="Calibri" w:hAnsi="Calibri"/>
          <w:b w:val="0"/>
          <w:color w:val="17202A"/>
          <w:sz w:val="22"/>
        </w:rPr>
        <w:t>La mitigación DDoS está siempre activa en los planes de Cloudflare. Absorbe ataques volumétricos y de protocolo, pero la protección del origen solo es completa si un atacante no puede conectarse directamente saltándose Cloudflare.</w:t>
      </w:r>
    </w:p>
    <w:p>
      <w:pPr>
        <w:pStyle w:val="Heading3"/>
      </w:pPr>
      <w:r>
        <w:rPr>
          <w:rFonts w:ascii="Calibri" w:hAnsi="Calibri"/>
          <w:b/>
          <w:color w:val="1F4D78"/>
          <w:sz w:val="24"/>
        </w:rPr>
        <w:t>Managed Rules</w:t>
      </w:r>
    </w:p>
    <w:p>
      <w:r>
        <w:rPr>
          <w:rFonts w:ascii="Calibri" w:hAnsi="Calibri"/>
          <w:b w:val="0"/>
          <w:color w:val="17202A"/>
          <w:sz w:val="22"/>
        </w:rPr>
        <w:t>Reglas mantenidas por Cloudflare para vulnerabilidades conocidas, como patrones de inyección o XSS. Deben desplegarse gradualmente y ajustarse según eventos reales.</w:t>
      </w:r>
    </w:p>
    <w:p>
      <w:pPr>
        <w:pStyle w:val="Heading3"/>
      </w:pPr>
      <w:r>
        <w:rPr>
          <w:rFonts w:ascii="Calibri" w:hAnsi="Calibri"/>
          <w:b/>
          <w:color w:val="1F4D78"/>
          <w:sz w:val="24"/>
        </w:rPr>
        <w:t>Custom Rules</w:t>
      </w:r>
    </w:p>
    <w:p>
      <w:r>
        <w:rPr>
          <w:rFonts w:ascii="Calibri" w:hAnsi="Calibri"/>
          <w:b w:val="0"/>
          <w:color w:val="17202A"/>
          <w:sz w:val="22"/>
        </w:rPr>
        <w:t>Permiten bloquear, desafiar o saltar fases según IP, ASN, país, hostname, ruta, método, cabeceras y otras propiedades. Business admite 100 reglas personalizadas y expresiones regulares.</w:t>
      </w:r>
    </w:p>
    <w:p>
      <w:pPr>
        <w:pStyle w:val="Heading3"/>
      </w:pPr>
      <w:r>
        <w:rPr>
          <w:rFonts w:ascii="Calibri" w:hAnsi="Calibri"/>
          <w:b/>
          <w:color w:val="1F4D78"/>
          <w:sz w:val="24"/>
        </w:rPr>
        <w:t>Rate limiting</w:t>
      </w:r>
    </w:p>
    <w:p>
      <w:r>
        <w:rPr>
          <w:rFonts w:ascii="Calibri" w:hAnsi="Calibri"/>
          <w:b w:val="0"/>
          <w:color w:val="17202A"/>
          <w:sz w:val="22"/>
        </w:rPr>
        <w:t>Limita abuso por frecuencia. Business permite cinco reglas con criterios más limitados que Enterprise. Deben priorizarse superficies de mayor riesgo:</w:t>
      </w:r>
    </w:p>
    <w:p>
      <w:pPr>
        <w:numPr>
          <w:ilvl w:val="0"/>
          <w:numId w:val="10"/>
        </w:numPr>
      </w:pPr>
      <w:r>
        <w:rPr>
          <w:rFonts w:ascii="Calibri" w:hAnsi="Calibri"/>
          <w:b w:val="0"/>
          <w:color w:val="17202A"/>
          <w:sz w:val="22"/>
        </w:rPr>
        <w:t>Login y recuperación de contraseña.</w:t>
      </w:r>
    </w:p>
    <w:p>
      <w:pPr>
        <w:numPr>
          <w:ilvl w:val="0"/>
          <w:numId w:val="10"/>
        </w:numPr>
      </w:pPr>
      <w:r>
        <w:rPr>
          <w:rFonts w:ascii="Calibri" w:hAnsi="Calibri"/>
          <w:b w:val="0"/>
          <w:color w:val="17202A"/>
          <w:sz w:val="22"/>
        </w:rPr>
        <w:t>Búsqueda intensiva.</w:t>
      </w:r>
    </w:p>
    <w:p>
      <w:pPr>
        <w:numPr>
          <w:ilvl w:val="0"/>
          <w:numId w:val="10"/>
        </w:numPr>
      </w:pPr>
      <w:r>
        <w:rPr>
          <w:rFonts w:ascii="Calibri" w:hAnsi="Calibri"/>
          <w:b w:val="0"/>
          <w:color w:val="17202A"/>
          <w:sz w:val="22"/>
        </w:rPr>
        <w:t>Endpoints OCC costosos.</w:t>
      </w:r>
    </w:p>
    <w:p>
      <w:pPr>
        <w:numPr>
          <w:ilvl w:val="0"/>
          <w:numId w:val="10"/>
        </w:numPr>
      </w:pPr>
      <w:r>
        <w:rPr>
          <w:rFonts w:ascii="Calibri" w:hAnsi="Calibri"/>
          <w:b w:val="0"/>
          <w:color w:val="17202A"/>
          <w:sz w:val="22"/>
        </w:rPr>
        <w:t>Reserva o consulta repetitiva de stock.</w:t>
      </w:r>
    </w:p>
    <w:p>
      <w:pPr>
        <w:numPr>
          <w:ilvl w:val="0"/>
          <w:numId w:val="10"/>
        </w:numPr>
      </w:pPr>
      <w:r>
        <w:rPr>
          <w:rFonts w:ascii="Calibri" w:hAnsi="Calibri"/>
          <w:b w:val="0"/>
          <w:color w:val="17202A"/>
          <w:sz w:val="22"/>
        </w:rPr>
        <w:t>Formularios sensibles.</w:t>
      </w:r>
    </w:p>
    <w:p>
      <w:r>
        <w:rPr>
          <w:rFonts w:ascii="Calibri" w:hAnsi="Calibri"/>
          <w:b w:val="0"/>
          <w:color w:val="17202A"/>
          <w:sz w:val="22"/>
        </w:rPr>
        <w:t>No es un contador perfectamente exacto de peticiones que llegan al origen; la aplicación de la mitigación puede tener un pequeño retraso.</w:t>
      </w:r>
    </w:p>
    <w:p>
      <w:pPr>
        <w:pStyle w:val="Heading3"/>
      </w:pPr>
      <w:r>
        <w:rPr>
          <w:rFonts w:ascii="Calibri" w:hAnsi="Calibri"/>
          <w:b/>
          <w:color w:val="1F4D78"/>
          <w:sz w:val="24"/>
        </w:rPr>
        <w:t>Bots</w:t>
      </w:r>
    </w:p>
    <w:p>
      <w:r>
        <w:rPr>
          <w:rFonts w:ascii="Calibri" w:hAnsi="Calibri"/>
          <w:b w:val="0"/>
          <w:color w:val="17202A"/>
          <w:sz w:val="22"/>
        </w:rPr>
        <w:t>Business incluye Super Bot Fight Mode. Permite acciones por categorías generales y excepciones mediante Custom Rules, pero no ofrece la puntuación 1–99 y el control por endpoint de Bot Management Enterprise.</w:t>
      </w:r>
    </w:p>
    <w:p>
      <w:pPr>
        <w:pStyle w:val="Heading2"/>
      </w:pPr>
      <w:r>
        <w:rPr>
          <w:rFonts w:ascii="Calibri" w:hAnsi="Calibri"/>
          <w:b/>
          <w:color w:val="2E74B5"/>
          <w:sz w:val="26"/>
        </w:rPr>
        <w:t>5.2. Orden e interacción</w:t>
      </w:r>
    </w:p>
    <w:p>
      <w:r>
        <w:rPr>
          <w:rFonts w:ascii="Calibri" w:hAnsi="Calibri"/>
          <w:b w:val="0"/>
          <w:color w:val="17202A"/>
          <w:sz w:val="22"/>
        </w:rPr>
        <w:t>Una acción terminante como Block o Challenge impide que fases posteriores evalúen la petición. Las excepciones deben diseñarse con el orden real en mente.</w:t>
      </w:r>
    </w:p>
    <w:p>
      <w:r>
        <w:rPr>
          <w:rFonts w:ascii="Calibri" w:hAnsi="Calibri"/>
          <w:b w:val="0"/>
          <w:color w:val="17202A"/>
          <w:sz w:val="22"/>
        </w:rPr>
        <w:t>Ejemplo:</w:t>
      </w:r>
    </w:p>
    <w:p>
      <w:pPr>
        <w:numPr>
          <w:ilvl w:val="0"/>
          <w:numId w:val="19"/>
        </w:numPr>
      </w:pPr>
      <w:r>
        <w:rPr>
          <w:rFonts w:ascii="Calibri" w:hAnsi="Calibri"/>
          <w:b w:val="0"/>
          <w:color w:val="17202A"/>
          <w:sz w:val="22"/>
        </w:rPr>
        <w:t>Permitir/saltar protección de bots para un callback de pago autenticado y conocido.</w:t>
      </w:r>
    </w:p>
    <w:p>
      <w:pPr>
        <w:numPr>
          <w:ilvl w:val="0"/>
          <w:numId w:val="19"/>
        </w:numPr>
      </w:pPr>
      <w:r>
        <w:rPr>
          <w:rFonts w:ascii="Calibri" w:hAnsi="Calibri"/>
          <w:b w:val="0"/>
          <w:color w:val="17202A"/>
          <w:sz w:val="22"/>
        </w:rPr>
        <w:t>Aplicar rate limiting al login.</w:t>
      </w:r>
    </w:p>
    <w:p>
      <w:pPr>
        <w:numPr>
          <w:ilvl w:val="0"/>
          <w:numId w:val="19"/>
        </w:numPr>
      </w:pPr>
      <w:r>
        <w:rPr>
          <w:rFonts w:ascii="Calibri" w:hAnsi="Calibri"/>
          <w:b w:val="0"/>
          <w:color w:val="17202A"/>
          <w:sz w:val="22"/>
        </w:rPr>
        <w:t>Ejecutar Managed Rules sobre el resto.</w:t>
      </w:r>
    </w:p>
    <w:p>
      <w:r>
        <w:rPr>
          <w:rFonts w:ascii="Calibri" w:hAnsi="Calibri"/>
          <w:b w:val="0"/>
          <w:color w:val="17202A"/>
          <w:sz w:val="22"/>
        </w:rPr>
        <w:t>Un allowlist demasiado amplio puede saltarse más protecciones de las previstas. Debe preferirse una excepción limitada por hostname, ruta, método y fuente.</w:t>
      </w:r>
    </w:p>
    <w:p>
      <w:pPr>
        <w:pStyle w:val="Heading2"/>
      </w:pPr>
      <w:r>
        <w:rPr>
          <w:rFonts w:ascii="Calibri" w:hAnsi="Calibri"/>
          <w:b/>
          <w:color w:val="2E74B5"/>
          <w:sz w:val="26"/>
        </w:rPr>
        <w:t>5.3. SEO y bots verificados</w:t>
      </w:r>
    </w:p>
    <w:p>
      <w:r>
        <w:rPr>
          <w:rFonts w:ascii="Calibri" w:hAnsi="Calibri"/>
          <w:b w:val="0"/>
          <w:color w:val="17202A"/>
          <w:sz w:val="22"/>
        </w:rPr>
        <w:t>Googlebot y Bingbot deben tratarse como bots verificados, no mediante un simple user-agent falsificable. El rate limiting aplicado indiscriminadamente a bots verificados puede perjudicar rastreo y SEO.</w:t>
      </w:r>
    </w:p>
    <w:p>
      <w:r>
        <w:rPr>
          <w:rFonts w:ascii="Calibri" w:hAnsi="Calibri"/>
          <w:b w:val="0"/>
          <w:color w:val="17202A"/>
          <w:sz w:val="22"/>
        </w:rPr>
        <w:t>Pruebas mínimas:</w:t>
      </w:r>
    </w:p>
    <w:p>
      <w:pPr>
        <w:numPr>
          <w:ilvl w:val="0"/>
          <w:numId w:val="10"/>
        </w:numPr>
      </w:pPr>
      <w:r>
        <w:rPr>
          <w:rFonts w:ascii="Courier New" w:hAnsi="Courier New"/>
          <w:color w:val="1F4D78"/>
          <w:sz w:val="21"/>
          <w:shd w:fill="EEF2F6"/>
        </w:rPr>
        <w:t>robots.txt</w:t>
      </w:r>
      <w:r>
        <w:rPr>
          <w:rFonts w:ascii="Calibri" w:hAnsi="Calibri"/>
          <w:b w:val="0"/>
          <w:color w:val="17202A"/>
          <w:sz w:val="22"/>
        </w:rPr>
        <w:t xml:space="preserve"> y sitemaps por mercado.</w:t>
      </w:r>
    </w:p>
    <w:p>
      <w:pPr>
        <w:numPr>
          <w:ilvl w:val="0"/>
          <w:numId w:val="10"/>
        </w:numPr>
      </w:pPr>
      <w:r>
        <w:rPr>
          <w:rFonts w:ascii="Calibri" w:hAnsi="Calibri"/>
          <w:b w:val="0"/>
          <w:color w:val="17202A"/>
          <w:sz w:val="22"/>
        </w:rPr>
        <w:t>Códigos 200/301/404 correctos.</w:t>
      </w:r>
    </w:p>
    <w:p>
      <w:pPr>
        <w:numPr>
          <w:ilvl w:val="0"/>
          <w:numId w:val="10"/>
        </w:numPr>
      </w:pPr>
      <w:r>
        <w:rPr>
          <w:rFonts w:ascii="Calibri" w:hAnsi="Calibri"/>
          <w:b w:val="0"/>
          <w:color w:val="17202A"/>
          <w:sz w:val="22"/>
        </w:rPr>
        <w:t>Ausencia de challenges para crawlers verificados.</w:t>
      </w:r>
    </w:p>
    <w:p>
      <w:pPr>
        <w:numPr>
          <w:ilvl w:val="0"/>
          <w:numId w:val="10"/>
        </w:numPr>
      </w:pPr>
      <w:r>
        <w:rPr>
          <w:rFonts w:ascii="Calibri" w:hAnsi="Calibri"/>
          <w:b w:val="0"/>
          <w:color w:val="17202A"/>
          <w:sz w:val="22"/>
        </w:rPr>
        <w:t>Canonicals y redirecciones sin bucles.</w:t>
      </w:r>
    </w:p>
    <w:p>
      <w:pPr>
        <w:numPr>
          <w:ilvl w:val="0"/>
          <w:numId w:val="10"/>
        </w:numPr>
      </w:pPr>
      <w:r>
        <w:rPr>
          <w:rFonts w:ascii="Calibri" w:hAnsi="Calibri"/>
          <w:b w:val="0"/>
          <w:color w:val="17202A"/>
          <w:sz w:val="22"/>
        </w:rPr>
        <w:t>TTFB y disponibilidad desde diferentes regiones.</w:t>
      </w:r>
    </w:p>
    <w:p>
      <w:pPr>
        <w:pStyle w:val="Heading2"/>
      </w:pPr>
      <w:r>
        <w:rPr>
          <w:rFonts w:ascii="Calibri" w:hAnsi="Calibri"/>
          <w:b/>
          <w:color w:val="2E74B5"/>
          <w:sz w:val="26"/>
        </w:rPr>
        <w:t>5.4. Protección del origen SAP</w:t>
      </w:r>
    </w:p>
    <w:p>
      <w:r>
        <w:rPr>
          <w:rFonts w:ascii="Calibri" w:hAnsi="Calibri"/>
          <w:b w:val="0"/>
          <w:color w:val="17202A"/>
          <w:sz w:val="22"/>
        </w:rPr>
        <w:t>SAP recomienda combinar CDN e IP Filter Sets. El estado final deseable es aceptar tráfico web solo desde Cloudflare y fuentes autorizadas. La secuencia segura es:</w:t>
      </w:r>
    </w:p>
    <w:p>
      <w:pPr>
        <w:numPr>
          <w:ilvl w:val="0"/>
          <w:numId w:val="20"/>
        </w:numPr>
      </w:pPr>
      <w:r>
        <w:rPr>
          <w:rFonts w:ascii="Calibri" w:hAnsi="Calibri"/>
          <w:b w:val="0"/>
          <w:color w:val="17202A"/>
          <w:sz w:val="22"/>
        </w:rPr>
        <w:t>Añadir rangos de Cloudflare sin retirar AFD.</w:t>
      </w:r>
    </w:p>
    <w:p>
      <w:pPr>
        <w:numPr>
          <w:ilvl w:val="0"/>
          <w:numId w:val="20"/>
        </w:numPr>
      </w:pPr>
      <w:r>
        <w:rPr>
          <w:rFonts w:ascii="Calibri" w:hAnsi="Calibri"/>
          <w:b w:val="0"/>
          <w:color w:val="17202A"/>
          <w:sz w:val="22"/>
        </w:rPr>
        <w:t>Validar producción y rollback.</w:t>
      </w:r>
    </w:p>
    <w:p>
      <w:pPr>
        <w:numPr>
          <w:ilvl w:val="0"/>
          <w:numId w:val="20"/>
        </w:numPr>
      </w:pPr>
      <w:r>
        <w:rPr>
          <w:rFonts w:ascii="Calibri" w:hAnsi="Calibri"/>
          <w:b w:val="0"/>
          <w:color w:val="17202A"/>
          <w:sz w:val="22"/>
        </w:rPr>
        <w:t>Mantener integraciones legítimas fuera del flujo web.</w:t>
      </w:r>
    </w:p>
    <w:p>
      <w:pPr>
        <w:numPr>
          <w:ilvl w:val="0"/>
          <w:numId w:val="20"/>
        </w:numPr>
      </w:pPr>
      <w:r>
        <w:rPr>
          <w:rFonts w:ascii="Calibri" w:hAnsi="Calibri"/>
          <w:b w:val="0"/>
          <w:color w:val="17202A"/>
          <w:sz w:val="22"/>
        </w:rPr>
        <w:t>Bloquear acceso directo no autorizado.</w:t>
      </w:r>
    </w:p>
    <w:p>
      <w:pPr>
        <w:numPr>
          <w:ilvl w:val="0"/>
          <w:numId w:val="20"/>
        </w:numPr>
      </w:pPr>
      <w:r>
        <w:rPr>
          <w:rFonts w:ascii="Calibri" w:hAnsi="Calibri"/>
          <w:b w:val="0"/>
          <w:color w:val="17202A"/>
          <w:sz w:val="22"/>
        </w:rPr>
        <w:t>Automatizar la actualización de rangos o establecer un proceso operativo.</w:t>
      </w:r>
    </w:p>
    <w:p>
      <w:pPr>
        <w:pStyle w:val="Heading2"/>
      </w:pPr>
      <w:r>
        <w:rPr>
          <w:rFonts w:ascii="Calibri" w:hAnsi="Calibri"/>
          <w:b/>
          <w:color w:val="2E74B5"/>
          <w:sz w:val="26"/>
        </w:rPr>
        <w:t>5.5. Protección del blog</w:t>
      </w:r>
    </w:p>
    <w:p>
      <w:r>
        <w:rPr>
          <w:rFonts w:ascii="Calibri" w:hAnsi="Calibri"/>
          <w:b w:val="0"/>
          <w:color w:val="17202A"/>
          <w:sz w:val="22"/>
        </w:rPr>
        <w:t>Actualmente el blog valida que las peticiones proceden de Front Door y redirige accesos directos. Con Cloudflare hay que rediseñar esa confianza:</w:t>
      </w:r>
    </w:p>
    <w:p>
      <w:pPr>
        <w:numPr>
          <w:ilvl w:val="0"/>
          <w:numId w:val="10"/>
        </w:numPr>
      </w:pPr>
      <w:r>
        <w:rPr>
          <w:rFonts w:ascii="Calibri" w:hAnsi="Calibri"/>
          <w:b w:val="0"/>
          <w:color w:val="17202A"/>
          <w:sz w:val="22"/>
        </w:rPr>
        <w:t xml:space="preserve">Cloudflare envía </w:t>
      </w:r>
      <w:r>
        <w:rPr>
          <w:rFonts w:ascii="Courier New" w:hAnsi="Courier New"/>
          <w:color w:val="1F4D78"/>
          <w:sz w:val="21"/>
          <w:shd w:fill="EEF2F6"/>
        </w:rPr>
        <w:t>/pt/blog</w:t>
      </w:r>
      <w:r>
        <w:rPr>
          <w:rFonts w:ascii="Calibri" w:hAnsi="Calibri"/>
          <w:b w:val="0"/>
          <w:color w:val="17202A"/>
          <w:sz w:val="22"/>
        </w:rPr>
        <w:t xml:space="preserve"> a Application Gateway.</w:t>
      </w:r>
    </w:p>
    <w:p>
      <w:pPr>
        <w:numPr>
          <w:ilvl w:val="0"/>
          <w:numId w:val="10"/>
        </w:numPr>
      </w:pPr>
      <w:r>
        <w:rPr>
          <w:rFonts w:ascii="Calibri" w:hAnsi="Calibri"/>
          <w:b w:val="0"/>
          <w:color w:val="17202A"/>
          <w:sz w:val="22"/>
        </w:rPr>
        <w:t>Application Gateway mantiene su WAF si se decide conservarlo.</w:t>
      </w:r>
    </w:p>
    <w:p>
      <w:pPr>
        <w:numPr>
          <w:ilvl w:val="0"/>
          <w:numId w:val="10"/>
        </w:numPr>
      </w:pPr>
      <w:r>
        <w:rPr>
          <w:rFonts w:ascii="Calibri" w:hAnsi="Calibri"/>
          <w:b w:val="0"/>
          <w:color w:val="17202A"/>
          <w:sz w:val="22"/>
        </w:rPr>
        <w:t>nginx/WordPress reconoce a Cloudflare o a Application Gateway como proxy autorizado.</w:t>
      </w:r>
    </w:p>
    <w:p>
      <w:pPr>
        <w:numPr>
          <w:ilvl w:val="0"/>
          <w:numId w:val="10"/>
        </w:numPr>
      </w:pPr>
      <w:r>
        <w:rPr>
          <w:rFonts w:ascii="Calibri" w:hAnsi="Calibri"/>
          <w:b w:val="0"/>
          <w:color w:val="17202A"/>
          <w:sz w:val="22"/>
        </w:rPr>
        <w:t>La IP real se preserva mediante cabeceras de confianza.</w:t>
      </w:r>
    </w:p>
    <w:p>
      <w:pPr>
        <w:numPr>
          <w:ilvl w:val="0"/>
          <w:numId w:val="10"/>
        </w:numPr>
      </w:pPr>
      <w:r>
        <w:rPr>
          <w:rFonts w:ascii="Calibri" w:hAnsi="Calibri"/>
          <w:b w:val="0"/>
          <w:color w:val="17202A"/>
          <w:sz w:val="22"/>
        </w:rPr>
        <w:t>No se crea un bucle entre hostname público y hostname de origen.</w:t>
      </w:r>
    </w:p>
    <w:p>
      <w:pPr>
        <w:numPr>
          <w:ilvl w:val="0"/>
          <w:numId w:val="10"/>
        </w:numPr>
      </w:pPr>
      <w:r>
        <w:rPr>
          <w:rFonts w:ascii="Calibri" w:hAnsi="Calibri"/>
          <w:b w:val="0"/>
          <w:color w:val="17202A"/>
          <w:sz w:val="22"/>
        </w:rPr>
        <w:t>Los callbacks, cron, administración y recursos WordPress se prueban por separado.</w:t>
      </w:r>
    </w:p>
    <w:p>
      <w:pPr>
        <w:pStyle w:val="Heading1"/>
      </w:pPr>
      <w:r>
        <w:rPr>
          <w:rFonts w:ascii="Calibri" w:hAnsi="Calibri"/>
          <w:b/>
          <w:color w:val="2E74B5"/>
          <w:sz w:val="32"/>
        </w:rPr>
        <w:t>Módulo 6. Enrutado, redirecciones y múltiples orígenes</w:t>
      </w:r>
    </w:p>
    <w:p>
      <w:pPr>
        <w:pStyle w:val="Heading2"/>
      </w:pPr>
      <w:r>
        <w:rPr>
          <w:rFonts w:ascii="Calibri" w:hAnsi="Calibri"/>
          <w:b/>
          <w:color w:val="2E74B5"/>
          <w:sz w:val="26"/>
        </w:rPr>
        <w:t>Objetivos</w:t>
      </w:r>
    </w:p>
    <w:p>
      <w:pPr>
        <w:numPr>
          <w:ilvl w:val="0"/>
          <w:numId w:val="10"/>
        </w:numPr>
      </w:pPr>
      <w:r>
        <w:rPr>
          <w:rFonts w:ascii="Calibri" w:hAnsi="Calibri"/>
          <w:b w:val="0"/>
          <w:color w:val="17202A"/>
          <w:sz w:val="22"/>
        </w:rPr>
        <w:t>Traducir rutas de AFD a reglas de Cloudflare.</w:t>
      </w:r>
    </w:p>
    <w:p>
      <w:pPr>
        <w:numPr>
          <w:ilvl w:val="0"/>
          <w:numId w:val="10"/>
        </w:numPr>
      </w:pPr>
      <w:r>
        <w:rPr>
          <w:rFonts w:ascii="Calibri" w:hAnsi="Calibri"/>
          <w:b w:val="0"/>
          <w:color w:val="17202A"/>
          <w:sz w:val="22"/>
        </w:rPr>
        <w:t>Distinguir redirect, rewrite y selección de origen.</w:t>
      </w:r>
    </w:p>
    <w:p>
      <w:pPr>
        <w:numPr>
          <w:ilvl w:val="0"/>
          <w:numId w:val="10"/>
        </w:numPr>
      </w:pPr>
      <w:r>
        <w:rPr>
          <w:rFonts w:ascii="Calibri" w:hAnsi="Calibri"/>
          <w:b w:val="0"/>
          <w:color w:val="17202A"/>
          <w:sz w:val="22"/>
        </w:rPr>
        <w:t>Comprender el límite de Origin Rules en Business.</w:t>
      </w:r>
    </w:p>
    <w:p>
      <w:pPr>
        <w:numPr>
          <w:ilvl w:val="0"/>
          <w:numId w:val="10"/>
        </w:numPr>
      </w:pPr>
      <w:r>
        <w:rPr>
          <w:rFonts w:ascii="Calibri" w:hAnsi="Calibri"/>
          <w:b w:val="0"/>
          <w:color w:val="17202A"/>
          <w:sz w:val="22"/>
        </w:rPr>
        <w:t>Diseñar la ruta del blog y el redirector legado.</w:t>
      </w:r>
    </w:p>
    <w:p>
      <w:pPr>
        <w:pStyle w:val="Heading2"/>
      </w:pPr>
      <w:r>
        <w:rPr>
          <w:rFonts w:ascii="Calibri" w:hAnsi="Calibri"/>
          <w:b/>
          <w:color w:val="2E74B5"/>
          <w:sz w:val="26"/>
        </w:rPr>
        <w:t>6.1. Redirect y rewrite</w:t>
      </w:r>
    </w:p>
    <w:p>
      <w:r>
        <w:rPr>
          <w:rFonts w:ascii="Calibri" w:hAnsi="Calibri"/>
          <w:b w:val="0"/>
          <w:color w:val="17202A"/>
          <w:sz w:val="22"/>
        </w:rPr>
        <w:t>Un redirect responde al navegador con un código 3xx y una URL nueva. El usuario realiza otra petición. Es visible y afecta SEO.</w:t>
      </w:r>
    </w:p>
    <w:p>
      <w:r>
        <w:rPr>
          <w:rFonts w:ascii="Calibri" w:hAnsi="Calibri"/>
          <w:b w:val="0"/>
          <w:color w:val="17202A"/>
          <w:sz w:val="22"/>
        </w:rPr>
        <w:t>Un rewrite cambia internamente ruta o parámetros antes de llegar al origen. La URL visible puede permanecer igual.</w:t>
      </w:r>
    </w:p>
    <w:p>
      <w:r>
        <w:rPr>
          <w:rFonts w:ascii="Calibri" w:hAnsi="Calibri"/>
          <w:b w:val="0"/>
          <w:color w:val="17202A"/>
          <w:sz w:val="22"/>
        </w:rPr>
        <w:t>Confundirlos provoca bucles, cadenas de redirección o recursos servidos bajo una URL incorrecta.</w:t>
      </w:r>
    </w:p>
    <w:p>
      <w:pPr>
        <w:pStyle w:val="Heading2"/>
      </w:pPr>
      <w:r>
        <w:rPr>
          <w:rFonts w:ascii="Calibri" w:hAnsi="Calibri"/>
          <w:b/>
          <w:color w:val="2E74B5"/>
          <w:sz w:val="26"/>
        </w:rPr>
        <w:t>6.2. Inventario actual que debe reproducirse</w:t>
      </w:r>
    </w:p>
    <w:p>
      <w:pPr>
        <w:numPr>
          <w:ilvl w:val="0"/>
          <w:numId w:val="10"/>
        </w:numPr>
      </w:pPr>
      <w:r>
        <w:rPr>
          <w:rFonts w:ascii="Calibri" w:hAnsi="Calibri"/>
          <w:b w:val="0"/>
          <w:color w:val="17202A"/>
          <w:sz w:val="22"/>
        </w:rPr>
        <w:t>HTTP → HTTPS.</w:t>
      </w:r>
    </w:p>
    <w:p>
      <w:pPr>
        <w:numPr>
          <w:ilvl w:val="0"/>
          <w:numId w:val="10"/>
        </w:numPr>
      </w:pPr>
      <w:r>
        <w:rPr>
          <w:rFonts w:ascii="Calibri" w:hAnsi="Calibri"/>
          <w:b w:val="0"/>
          <w:color w:val="17202A"/>
          <w:sz w:val="22"/>
        </w:rPr>
        <w:t xml:space="preserve">Apex → </w:t>
      </w:r>
      <w:r>
        <w:rPr>
          <w:rFonts w:ascii="Courier New" w:hAnsi="Courier New"/>
          <w:color w:val="1F4D78"/>
          <w:sz w:val="21"/>
          <w:shd w:fill="EEF2F6"/>
        </w:rPr>
        <w:t>www</w:t>
      </w:r>
      <w:r>
        <w:rPr>
          <w:rFonts w:ascii="Calibri" w:hAnsi="Calibri"/>
          <w:b w:val="0"/>
          <w:color w:val="17202A"/>
          <w:sz w:val="22"/>
        </w:rPr>
        <w:t>.</w:t>
      </w:r>
    </w:p>
    <w:p>
      <w:pPr>
        <w:numPr>
          <w:ilvl w:val="0"/>
          <w:numId w:val="10"/>
        </w:numPr>
      </w:pPr>
      <w:r>
        <w:rPr>
          <w:rFonts w:ascii="Calibri" w:hAnsi="Calibri"/>
          <w:b w:val="0"/>
          <w:color w:val="17202A"/>
          <w:sz w:val="22"/>
        </w:rPr>
        <w:t>Home equivalente → home canónica del idioma.</w:t>
      </w:r>
    </w:p>
    <w:p>
      <w:pPr>
        <w:numPr>
          <w:ilvl w:val="0"/>
          <w:numId w:val="10"/>
        </w:numPr>
      </w:pPr>
      <w:r>
        <w:rPr>
          <w:rFonts w:ascii="Calibri" w:hAnsi="Calibri"/>
          <w:b w:val="0"/>
          <w:color w:val="17202A"/>
          <w:sz w:val="22"/>
        </w:rPr>
        <w:t>URLs heredadas → servicio de mapeo por mercado con anti-bucle.</w:t>
      </w:r>
    </w:p>
    <w:p>
      <w:pPr>
        <w:numPr>
          <w:ilvl w:val="0"/>
          <w:numId w:val="10"/>
        </w:numPr>
      </w:pPr>
      <w:r>
        <w:rPr>
          <w:rFonts w:ascii="Calibri" w:hAnsi="Calibri"/>
          <w:b w:val="0"/>
          <w:color w:val="17202A"/>
          <w:sz w:val="22"/>
        </w:rPr>
        <w:t>Tiendas antiguas → nuevas fichas.</w:t>
      </w:r>
    </w:p>
    <w:p>
      <w:pPr>
        <w:numPr>
          <w:ilvl w:val="0"/>
          <w:numId w:val="10"/>
        </w:numPr>
      </w:pPr>
      <w:r>
        <w:rPr>
          <w:rFonts w:ascii="Calibri" w:hAnsi="Calibri"/>
          <w:b w:val="0"/>
          <w:color w:val="17202A"/>
          <w:sz w:val="22"/>
        </w:rPr>
        <w:t xml:space="preserve">Blog antiguo → </w:t>
      </w:r>
      <w:r>
        <w:rPr>
          <w:rFonts w:ascii="Courier New" w:hAnsi="Courier New"/>
          <w:color w:val="1F4D78"/>
          <w:sz w:val="21"/>
          <w:shd w:fill="EEF2F6"/>
        </w:rPr>
        <w:t>/pt/blog/...</w:t>
      </w:r>
      <w:r>
        <w:rPr>
          <w:rFonts w:ascii="Calibri" w:hAnsi="Calibri"/>
          <w:b w:val="0"/>
          <w:color w:val="17202A"/>
          <w:sz w:val="22"/>
        </w:rPr>
        <w:t xml:space="preserve"> conservando artículo.</w:t>
      </w:r>
    </w:p>
    <w:p>
      <w:pPr>
        <w:numPr>
          <w:ilvl w:val="0"/>
          <w:numId w:val="10"/>
        </w:numPr>
      </w:pPr>
      <w:r>
        <w:rPr>
          <w:rFonts w:ascii="Calibri" w:hAnsi="Calibri"/>
          <w:b w:val="0"/>
          <w:color w:val="17202A"/>
          <w:sz w:val="22"/>
        </w:rPr>
        <w:t>robots/sitemap → fichero específico de mercado.</w:t>
      </w:r>
    </w:p>
    <w:p>
      <w:pPr>
        <w:numPr>
          <w:ilvl w:val="0"/>
          <w:numId w:val="10"/>
        </w:numPr>
      </w:pPr>
      <w:r>
        <w:rPr>
          <w:rFonts w:ascii="Calibri" w:hAnsi="Calibri"/>
          <w:b w:val="0"/>
          <w:color w:val="17202A"/>
          <w:sz w:val="22"/>
        </w:rPr>
        <w:t>Inyección de idioma en producto/categoría cuando falta.</w:t>
      </w:r>
    </w:p>
    <w:p>
      <w:pPr>
        <w:numPr>
          <w:ilvl w:val="0"/>
          <w:numId w:val="10"/>
        </w:numPr>
      </w:pPr>
      <w:r>
        <w:rPr>
          <w:rFonts w:ascii="Calibri" w:hAnsi="Calibri"/>
          <w:b w:val="0"/>
          <w:color w:val="17202A"/>
          <w:sz w:val="22"/>
        </w:rPr>
        <w:t>Ruta de tienda → storefront SAP.</w:t>
      </w:r>
    </w:p>
    <w:p>
      <w:pPr>
        <w:numPr>
          <w:ilvl w:val="0"/>
          <w:numId w:val="10"/>
        </w:numPr>
      </w:pPr>
      <w:r>
        <w:rPr>
          <w:rFonts w:ascii="Calibri" w:hAnsi="Calibri"/>
          <w:b w:val="0"/>
          <w:color w:val="17202A"/>
          <w:sz w:val="22"/>
        </w:rPr>
        <w:t>Ruta de API → API SAP.</w:t>
      </w:r>
    </w:p>
    <w:p>
      <w:pPr>
        <w:numPr>
          <w:ilvl w:val="0"/>
          <w:numId w:val="10"/>
        </w:numPr>
      </w:pPr>
      <w:r>
        <w:rPr>
          <w:rFonts w:ascii="Calibri" w:hAnsi="Calibri"/>
          <w:b w:val="0"/>
          <w:color w:val="17202A"/>
          <w:sz w:val="22"/>
        </w:rPr>
        <w:t>Ruta de blog → Application Gateway.</w:t>
      </w:r>
    </w:p>
    <w:p>
      <w:pPr>
        <w:pStyle w:val="Heading2"/>
      </w:pPr>
      <w:r>
        <w:rPr>
          <w:rFonts w:ascii="Calibri" w:hAnsi="Calibri"/>
          <w:b/>
          <w:color w:val="2E74B5"/>
          <w:sz w:val="26"/>
        </w:rPr>
        <w:t>6.3. Productos de reglas de Cloudflare</w:t>
      </w:r>
    </w:p>
    <w:p>
      <w:pPr>
        <w:numPr>
          <w:ilvl w:val="0"/>
          <w:numId w:val="10"/>
        </w:numPr>
      </w:pPr>
      <w:r>
        <w:rPr>
          <w:rFonts w:ascii="Calibri" w:hAnsi="Calibri"/>
          <w:b w:val="0"/>
          <w:color w:val="17202A"/>
          <w:sz w:val="22"/>
        </w:rPr>
        <w:t>Redirect Rules: respuestas 3xx.</w:t>
      </w:r>
    </w:p>
    <w:p>
      <w:pPr>
        <w:numPr>
          <w:ilvl w:val="0"/>
          <w:numId w:val="10"/>
        </w:numPr>
      </w:pPr>
      <w:r>
        <w:rPr>
          <w:rFonts w:ascii="Calibri" w:hAnsi="Calibri"/>
          <w:b w:val="0"/>
          <w:color w:val="17202A"/>
          <w:sz w:val="22"/>
        </w:rPr>
        <w:t>URL Rewrite Rules: modificar URI antes del origen.</w:t>
      </w:r>
    </w:p>
    <w:p>
      <w:pPr>
        <w:numPr>
          <w:ilvl w:val="0"/>
          <w:numId w:val="10"/>
        </w:numPr>
      </w:pPr>
      <w:r>
        <w:rPr>
          <w:rFonts w:ascii="Calibri" w:hAnsi="Calibri"/>
          <w:b w:val="0"/>
          <w:color w:val="17202A"/>
          <w:sz w:val="22"/>
        </w:rPr>
        <w:t>Transform Rules: cabeceras de petición/respuesta.</w:t>
      </w:r>
    </w:p>
    <w:p>
      <w:pPr>
        <w:numPr>
          <w:ilvl w:val="0"/>
          <w:numId w:val="10"/>
        </w:numPr>
      </w:pPr>
      <w:r>
        <w:rPr>
          <w:rFonts w:ascii="Calibri" w:hAnsi="Calibri"/>
          <w:b w:val="0"/>
          <w:color w:val="17202A"/>
          <w:sz w:val="22"/>
        </w:rPr>
        <w:t>Origin Rules: modificar cómo se alcanza el origen.</w:t>
      </w:r>
    </w:p>
    <w:p>
      <w:pPr>
        <w:numPr>
          <w:ilvl w:val="0"/>
          <w:numId w:val="10"/>
        </w:numPr>
      </w:pPr>
      <w:r>
        <w:rPr>
          <w:rFonts w:ascii="Calibri" w:hAnsi="Calibri"/>
          <w:b w:val="0"/>
          <w:color w:val="17202A"/>
          <w:sz w:val="22"/>
        </w:rPr>
        <w:t>Cache Rules: elegibilidad, TTL, query strings y otras propiedades de caché.</w:t>
      </w:r>
    </w:p>
    <w:p>
      <w:pPr>
        <w:numPr>
          <w:ilvl w:val="0"/>
          <w:numId w:val="10"/>
        </w:numPr>
      </w:pPr>
      <w:r>
        <w:rPr>
          <w:rFonts w:ascii="Calibri" w:hAnsi="Calibri"/>
          <w:b w:val="0"/>
          <w:color w:val="17202A"/>
          <w:sz w:val="22"/>
        </w:rPr>
        <w:t>WAF Custom Rules: seguridad, challenges, skip y bloqueos.</w:t>
      </w:r>
    </w:p>
    <w:p>
      <w:r>
        <w:rPr>
          <w:rFonts w:ascii="Calibri" w:hAnsi="Calibri"/>
          <w:b w:val="0"/>
          <w:color w:val="17202A"/>
          <w:sz w:val="22"/>
        </w:rPr>
        <w:t>El orden entre fases importa. La documentación operativa debe registrar no solo la expresión, sino el motivo, propietario, prueba y dependencia.</w:t>
      </w:r>
    </w:p>
    <w:p>
      <w:pPr>
        <w:pStyle w:val="Heading2"/>
      </w:pPr>
      <w:r>
        <w:rPr>
          <w:rFonts w:ascii="Calibri" w:hAnsi="Calibri"/>
          <w:b/>
          <w:color w:val="2E74B5"/>
          <w:sz w:val="26"/>
        </w:rPr>
        <w:t>6.4. Límite de Business para orígenes</w:t>
      </w:r>
    </w:p>
    <w:p>
      <w:r>
        <w:rPr>
          <w:rFonts w:ascii="Calibri" w:hAnsi="Calibri"/>
          <w:b w:val="0"/>
          <w:color w:val="17202A"/>
          <w:sz w:val="22"/>
        </w:rPr>
        <w:t>Business dispone de Origin Rules, pero no de override libre de Host, SNI o destino DNS mediante esas reglas; Enterprise sí. Business puede cambiar el puerto. Cloudflare Load Balancing, Workers o una configuración adecuada de los endpoints pueden resolver algunos escenarios, pero no deben suponerse equivalentes sin prueba.</w:t>
      </w:r>
    </w:p>
    <w:p>
      <w:r>
        <w:rPr>
          <w:rFonts w:ascii="Calibri" w:hAnsi="Calibri"/>
          <w:b w:val="0"/>
          <w:color w:val="17202A"/>
          <w:sz w:val="22"/>
        </w:rPr>
        <w:t>Pregunta decisiva para cada origen actual:</w:t>
      </w:r>
    </w:p>
    <w:p>
      <w:pPr>
        <w:spacing w:before="120" w:after="200"/>
        <w:ind w:left="259" w:right="144"/>
        <w:shd w:fill="F4F6F9"/>
        <w:pBdr>
          <w:left w:val="single" w:sz="18" w:space="8" w:color="F48120"/>
        </w:pBdr>
      </w:pPr>
      <w:r>
        <w:rPr>
          <w:rFonts w:ascii="Calibri" w:hAnsi="Calibri"/>
          <w:b w:val="0"/>
          <w:color w:val="17324D"/>
          <w:sz w:val="21"/>
        </w:rPr>
        <w:t>¿AFD envía el mismo Host público que recibe, o sobrescribe Host/SNI para que SAP, el redirector o Application Gateway acepten la petición?</w:t>
      </w:r>
    </w:p>
    <w:p>
      <w:pPr>
        <w:pStyle w:val="Heading2"/>
      </w:pPr>
      <w:r>
        <w:rPr>
          <w:rFonts w:ascii="Calibri" w:hAnsi="Calibri"/>
          <w:b/>
          <w:color w:val="2E74B5"/>
          <w:sz w:val="26"/>
        </w:rPr>
        <w:t>6.5. Health checks y balanceo</w:t>
      </w:r>
    </w:p>
    <w:p>
      <w:r>
        <w:rPr>
          <w:rFonts w:ascii="Calibri" w:hAnsi="Calibri"/>
          <w:b w:val="0"/>
          <w:color w:val="17202A"/>
          <w:sz w:val="22"/>
        </w:rPr>
        <w:t>AFD utiliza grupos de orígenes, sondas y balanceo. Cloudflare Load Balancing es un producto adicional con pools, monitores y failover. Antes de afirmar que Business base sustituye AFD debe saberse:</w:t>
      </w:r>
    </w:p>
    <w:p>
      <w:pPr>
        <w:numPr>
          <w:ilvl w:val="0"/>
          <w:numId w:val="10"/>
        </w:numPr>
      </w:pPr>
      <w:r>
        <w:rPr>
          <w:rFonts w:ascii="Calibri" w:hAnsi="Calibri"/>
          <w:b w:val="0"/>
          <w:color w:val="17202A"/>
          <w:sz w:val="22"/>
        </w:rPr>
        <w:t>Cuántos orígenes reales hay por grupo.</w:t>
      </w:r>
    </w:p>
    <w:p>
      <w:pPr>
        <w:numPr>
          <w:ilvl w:val="0"/>
          <w:numId w:val="10"/>
        </w:numPr>
      </w:pPr>
      <w:r>
        <w:rPr>
          <w:rFonts w:ascii="Calibri" w:hAnsi="Calibri"/>
          <w:b w:val="0"/>
          <w:color w:val="17202A"/>
          <w:sz w:val="22"/>
        </w:rPr>
        <w:t>Si existe activo/pasivo o pesos.</w:t>
      </w:r>
    </w:p>
    <w:p>
      <w:pPr>
        <w:numPr>
          <w:ilvl w:val="0"/>
          <w:numId w:val="10"/>
        </w:numPr>
      </w:pPr>
      <w:r>
        <w:rPr>
          <w:rFonts w:ascii="Calibri" w:hAnsi="Calibri"/>
          <w:b w:val="0"/>
          <w:color w:val="17202A"/>
          <w:sz w:val="22"/>
        </w:rPr>
        <w:t>Ruta, método, Host y códigos esperados por la sonda.</w:t>
      </w:r>
    </w:p>
    <w:p>
      <w:pPr>
        <w:numPr>
          <w:ilvl w:val="0"/>
          <w:numId w:val="10"/>
        </w:numPr>
      </w:pPr>
      <w:r>
        <w:rPr>
          <w:rFonts w:ascii="Calibri" w:hAnsi="Calibri"/>
          <w:b w:val="0"/>
          <w:color w:val="17202A"/>
          <w:sz w:val="22"/>
        </w:rPr>
        <w:t>Si la afinidad de sesión es necesaria.</w:t>
      </w:r>
    </w:p>
    <w:p>
      <w:pPr>
        <w:numPr>
          <w:ilvl w:val="0"/>
          <w:numId w:val="10"/>
        </w:numPr>
      </w:pPr>
      <w:r>
        <w:rPr>
          <w:rFonts w:ascii="Calibri" w:hAnsi="Calibri"/>
          <w:b w:val="0"/>
          <w:color w:val="17202A"/>
          <w:sz w:val="22"/>
        </w:rPr>
        <w:t>Qué comportamiento se espera cuando un origen falla.</w:t>
      </w:r>
    </w:p>
    <w:p>
      <w:r>
        <w:rPr>
          <w:rFonts w:ascii="Calibri" w:hAnsi="Calibri"/>
          <w:b w:val="0"/>
          <w:color w:val="17202A"/>
          <w:sz w:val="22"/>
        </w:rPr>
        <w:t>Una única URL SaaS gestionada por SAP puede no necesitar balanceo adicional. Varios destinos o failover explícito sí pueden requerirlo.</w:t>
      </w:r>
    </w:p>
    <w:p>
      <w:pPr>
        <w:pStyle w:val="Heading2"/>
      </w:pPr>
      <w:r>
        <w:rPr>
          <w:rFonts w:ascii="Calibri" w:hAnsi="Calibri"/>
          <w:b/>
          <w:color w:val="2E74B5"/>
          <w:sz w:val="26"/>
        </w:rPr>
        <w:t>6.6. Arquitectura objetivo conceptual</w:t>
      </w:r>
    </w:p>
    <w:p>
      <w:pPr>
        <w:spacing w:before="120" w:after="160"/>
        <w:jc w:val="center"/>
      </w:pPr>
      <w:r>
        <w:drawing>
          <wp:inline xmlns:a="http://schemas.openxmlformats.org/drawingml/2006/main" xmlns:pic="http://schemas.openxmlformats.org/drawingml/2006/picture">
            <wp:extent cx="5806440" cy="3483864"/>
            <wp:docPr id="4" name="Picture 4" descr="target architecture" title="target architecture"/>
            <wp:cNvGraphicFramePr>
              <a:graphicFrameLocks noChangeAspect="1"/>
            </wp:cNvGraphicFramePr>
            <a:graphic>
              <a:graphicData uri="http://schemas.openxmlformats.org/drawingml/2006/picture">
                <pic:pic>
                  <pic:nvPicPr>
                    <pic:cNvPr id="0" name="target-architecture.png"/>
                    <pic:cNvPicPr/>
                  </pic:nvPicPr>
                  <pic:blipFill>
                    <a:blip r:embed="rId14"/>
                    <a:stretch>
                      <a:fillRect/>
                    </a:stretch>
                  </pic:blipFill>
                  <pic:spPr>
                    <a:xfrm>
                      <a:off x="0" y="0"/>
                      <a:ext cx="5806440" cy="3483864"/>
                    </a:xfrm>
                    <a:prstGeom prst="rect"/>
                  </pic:spPr>
                </pic:pic>
              </a:graphicData>
            </a:graphic>
          </wp:inline>
        </w:drawing>
      </w:r>
    </w:p>
    <w:p>
      <w:r>
        <w:rPr>
          <w:rFonts w:ascii="Calibri" w:hAnsi="Calibri"/>
          <w:b w:val="0"/>
          <w:color w:val="17202A"/>
          <w:sz w:val="22"/>
        </w:rPr>
        <w:t>La arquitectura más directa conservaría Azure DNS y sustituiría la entrada web de AFD:</w:t>
      </w:r>
    </w:p>
    <w:p>
      <w:pPr>
        <w:numPr>
          <w:ilvl w:val="0"/>
          <w:numId w:val="10"/>
        </w:numPr>
      </w:pPr>
      <w:r>
        <w:rPr>
          <w:rFonts w:ascii="Calibri" w:hAnsi="Calibri"/>
          <w:b w:val="0"/>
          <w:color w:val="17202A"/>
          <w:sz w:val="22"/>
        </w:rPr>
        <w:t>Azure DNS → Cloudflare mediante configuración parcial.</w:t>
      </w:r>
    </w:p>
    <w:p>
      <w:pPr>
        <w:numPr>
          <w:ilvl w:val="0"/>
          <w:numId w:val="10"/>
        </w:numPr>
      </w:pPr>
      <w:r>
        <w:rPr>
          <w:rFonts w:ascii="Calibri" w:hAnsi="Calibri"/>
          <w:b w:val="0"/>
          <w:color w:val="17202A"/>
          <w:sz w:val="22"/>
        </w:rPr>
        <w:t>Cloudflare → storefront SAP para tienda.</w:t>
      </w:r>
    </w:p>
    <w:p>
      <w:pPr>
        <w:numPr>
          <w:ilvl w:val="0"/>
          <w:numId w:val="10"/>
        </w:numPr>
      </w:pPr>
      <w:r>
        <w:rPr>
          <w:rFonts w:ascii="Calibri" w:hAnsi="Calibri"/>
          <w:b w:val="0"/>
          <w:color w:val="17202A"/>
          <w:sz w:val="22"/>
        </w:rPr>
        <w:t>Cloudflare → API SAP para rutas OCC/API.</w:t>
      </w:r>
    </w:p>
    <w:p>
      <w:pPr>
        <w:numPr>
          <w:ilvl w:val="0"/>
          <w:numId w:val="10"/>
        </w:numPr>
      </w:pPr>
      <w:r>
        <w:rPr>
          <w:rFonts w:ascii="Calibri" w:hAnsi="Calibri"/>
          <w:b w:val="0"/>
          <w:color w:val="17202A"/>
          <w:sz w:val="22"/>
        </w:rPr>
        <w:t xml:space="preserve">Cloudflare → Application Gateway → WordPress para </w:t>
      </w:r>
      <w:r>
        <w:rPr>
          <w:rFonts w:ascii="Courier New" w:hAnsi="Courier New"/>
          <w:color w:val="1F4D78"/>
          <w:sz w:val="21"/>
          <w:shd w:fill="EEF2F6"/>
        </w:rPr>
        <w:t>/pt/blog</w:t>
      </w:r>
      <w:r>
        <w:rPr>
          <w:rFonts w:ascii="Calibri" w:hAnsi="Calibri"/>
          <w:b w:val="0"/>
          <w:color w:val="17202A"/>
          <w:sz w:val="22"/>
        </w:rPr>
        <w:t>.</w:t>
      </w:r>
    </w:p>
    <w:p>
      <w:r>
        <w:rPr>
          <w:rFonts w:ascii="Calibri" w:hAnsi="Calibri"/>
          <w:b w:val="0"/>
          <w:color w:val="17202A"/>
          <w:sz w:val="22"/>
        </w:rPr>
        <w:t>Durante la transición puede mantenerse Cloudflare → AFD → orígenes, pero encadenar dos proxies añade latencia, duplica caché/WAF y complica cabeceras. Debe ser una etapa temporal con salida definida.</w:t>
      </w:r>
    </w:p>
    <w:p>
      <w:pPr>
        <w:pStyle w:val="Heading1"/>
      </w:pPr>
      <w:r>
        <w:rPr>
          <w:rFonts w:ascii="Calibri" w:hAnsi="Calibri"/>
          <w:b/>
          <w:color w:val="2E74B5"/>
          <w:sz w:val="32"/>
        </w:rPr>
        <w:t>Módulo 7. Business frente a Enterprise</w:t>
      </w:r>
    </w:p>
    <w:p>
      <w:pPr>
        <w:pStyle w:val="Heading2"/>
      </w:pPr>
      <w:r>
        <w:rPr>
          <w:rFonts w:ascii="Calibri" w:hAnsi="Calibri"/>
          <w:b/>
          <w:color w:val="2E74B5"/>
          <w:sz w:val="26"/>
        </w:rPr>
        <w:t>7.1. Comparación relevante</w:t>
      </w:r>
    </w:p>
    <w:tbl>
      <w:tblPr>
        <w:tblStyle w:val="TableGrid"/>
        <w:tblW w:type="dxa" w:w="9360"/>
        <w:jc w:val="left"/>
        <w:tblLayout w:type="fixed"/>
        <w:tblLook w:firstColumn="1" w:firstRow="1" w:lastColumn="0" w:lastRow="0" w:noHBand="0" w:noVBand="1" w:val="04A0"/>
        <w:tblInd w:w="120" w:type="dxa"/>
      </w:tblPr>
      <w:tblGrid>
        <w:gridCol w:w="1450"/>
        <w:gridCol w:w="2550"/>
        <w:gridCol w:w="2680"/>
        <w:gridCol w:w="2680"/>
      </w:tblGrid>
      <w:tr>
        <w:trPr>
          <w:tblHeader w:val="true"/>
        </w:trPr>
        <w:tc>
          <w:tcPr>
            <w:tcW w:type="dxa" w:w="1450"/>
            <w:tcMar>
              <w:top w:w="80" w:type="dxa"/>
              <w:start w:w="120" w:type="dxa"/>
              <w:bottom w:w="80" w:type="dxa"/>
              <w:end w:w="120" w:type="dxa"/>
            </w:tcMar>
            <w:vAlign w:val="center"/>
            <w:shd w:fill="E8EEF5"/>
          </w:tcPr>
          <w:p>
            <w:pPr>
              <w:spacing w:before="0" w:after="0" w:line="276" w:lineRule="auto"/>
            </w:pPr>
            <w:r>
              <w:rPr>
                <w:rFonts w:ascii="Calibri" w:hAnsi="Calibri"/>
                <w:b/>
                <w:color w:val="17202A"/>
                <w:sz w:val="18"/>
              </w:rPr>
              <w:t>Área</w:t>
            </w:r>
          </w:p>
        </w:tc>
        <w:tc>
          <w:tcPr>
            <w:tcW w:type="dxa" w:w="2550"/>
            <w:tcMar>
              <w:top w:w="80" w:type="dxa"/>
              <w:start w:w="120" w:type="dxa"/>
              <w:bottom w:w="80" w:type="dxa"/>
              <w:end w:w="120" w:type="dxa"/>
            </w:tcMar>
            <w:vAlign w:val="center"/>
            <w:shd w:fill="E8EEF5"/>
          </w:tcPr>
          <w:p>
            <w:pPr>
              <w:spacing w:before="0" w:after="0" w:line="276" w:lineRule="auto"/>
            </w:pPr>
            <w:r>
              <w:rPr>
                <w:rFonts w:ascii="Calibri" w:hAnsi="Calibri"/>
                <w:b/>
                <w:color w:val="17202A"/>
                <w:sz w:val="18"/>
              </w:rPr>
              <w:t>Business</w:t>
            </w:r>
          </w:p>
        </w:tc>
        <w:tc>
          <w:tcPr>
            <w:tcW w:type="dxa" w:w="2680"/>
            <w:tcMar>
              <w:top w:w="80" w:type="dxa"/>
              <w:start w:w="120" w:type="dxa"/>
              <w:bottom w:w="80" w:type="dxa"/>
              <w:end w:w="120" w:type="dxa"/>
            </w:tcMar>
            <w:vAlign w:val="center"/>
            <w:shd w:fill="E8EEF5"/>
          </w:tcPr>
          <w:p>
            <w:pPr>
              <w:spacing w:before="0" w:after="0" w:line="276" w:lineRule="auto"/>
            </w:pPr>
            <w:r>
              <w:rPr>
                <w:rFonts w:ascii="Calibri" w:hAnsi="Calibri"/>
                <w:b/>
                <w:color w:val="17202A"/>
                <w:sz w:val="18"/>
              </w:rPr>
              <w:t>Enterprise</w:t>
            </w:r>
          </w:p>
        </w:tc>
        <w:tc>
          <w:tcPr>
            <w:tcW w:type="dxa" w:w="2680"/>
            <w:tcMar>
              <w:top w:w="80" w:type="dxa"/>
              <w:start w:w="120" w:type="dxa"/>
              <w:bottom w:w="80" w:type="dxa"/>
              <w:end w:w="120" w:type="dxa"/>
            </w:tcMar>
            <w:vAlign w:val="center"/>
            <w:shd w:fill="E8EEF5"/>
          </w:tcPr>
          <w:p>
            <w:pPr>
              <w:spacing w:before="0" w:after="0" w:line="276" w:lineRule="auto"/>
            </w:pPr>
            <w:r>
              <w:rPr>
                <w:rFonts w:ascii="Calibri" w:hAnsi="Calibri"/>
                <w:b/>
                <w:color w:val="17202A"/>
                <w:sz w:val="18"/>
              </w:rPr>
              <w:t>Impacto en el caso</w:t>
            </w:r>
          </w:p>
        </w:tc>
      </w:tr>
      <w:tr>
        <w:tc>
          <w:tcPr>
            <w:tcW w:type="dxa" w:w="1450"/>
            <w:tcMar>
              <w:top w:w="80" w:type="dxa"/>
              <w:start w:w="120" w:type="dxa"/>
              <w:bottom w:w="80" w:type="dxa"/>
              <w:end w:w="120" w:type="dxa"/>
            </w:tcMar>
            <w:vAlign w:val="center"/>
          </w:tcPr>
          <w:p>
            <w:pPr>
              <w:spacing w:before="0" w:after="0" w:line="276" w:lineRule="auto"/>
            </w:pPr>
            <w:r>
              <w:rPr>
                <w:rFonts w:ascii="Calibri" w:hAnsi="Calibri"/>
                <w:b w:val="0"/>
                <w:color w:val="17202A"/>
                <w:sz w:val="18"/>
              </w:rPr>
              <w:t>Precio público</w:t>
            </w:r>
          </w:p>
        </w:tc>
        <w:tc>
          <w:tcPr>
            <w:tcW w:type="dxa" w:w="2550"/>
            <w:tcMar>
              <w:top w:w="80" w:type="dxa"/>
              <w:start w:w="120" w:type="dxa"/>
              <w:bottom w:w="80" w:type="dxa"/>
              <w:end w:w="120" w:type="dxa"/>
            </w:tcMar>
            <w:vAlign w:val="center"/>
          </w:tcPr>
          <w:p>
            <w:pPr>
              <w:spacing w:before="0" w:after="0" w:line="276" w:lineRule="auto"/>
            </w:pPr>
            <w:r>
              <w:rPr>
                <w:rFonts w:ascii="Calibri" w:hAnsi="Calibri"/>
                <w:b w:val="0"/>
                <w:color w:val="17202A"/>
                <w:sz w:val="18"/>
              </w:rPr>
              <w:t>200 USD/mes anual o 250 mensual por dominio</w:t>
            </w:r>
          </w:p>
        </w:tc>
        <w:tc>
          <w:tcPr>
            <w:tcW w:type="dxa" w:w="2680"/>
            <w:tcMar>
              <w:top w:w="80" w:type="dxa"/>
              <w:start w:w="120" w:type="dxa"/>
              <w:bottom w:w="80" w:type="dxa"/>
              <w:end w:w="120" w:type="dxa"/>
            </w:tcMar>
            <w:vAlign w:val="center"/>
          </w:tcPr>
          <w:p>
            <w:pPr>
              <w:spacing w:before="0" w:after="0" w:line="276" w:lineRule="auto"/>
            </w:pPr>
            <w:r>
              <w:rPr>
                <w:rFonts w:ascii="Calibri" w:hAnsi="Calibri"/>
                <w:b w:val="0"/>
                <w:color w:val="17202A"/>
                <w:sz w:val="18"/>
              </w:rPr>
              <w:t>Contrato personalizado</w:t>
            </w:r>
          </w:p>
        </w:tc>
        <w:tc>
          <w:tcPr>
            <w:tcW w:type="dxa" w:w="2680"/>
            <w:tcMar>
              <w:top w:w="80" w:type="dxa"/>
              <w:start w:w="120" w:type="dxa"/>
              <w:bottom w:w="80" w:type="dxa"/>
              <w:end w:w="120" w:type="dxa"/>
            </w:tcMar>
            <w:vAlign w:val="center"/>
          </w:tcPr>
          <w:p>
            <w:pPr>
              <w:spacing w:before="0" w:after="0" w:line="276" w:lineRule="auto"/>
            </w:pPr>
            <w:r>
              <w:rPr>
                <w:rFonts w:ascii="Calibri" w:hAnsi="Calibri"/>
                <w:b w:val="0"/>
                <w:color w:val="17202A"/>
                <w:sz w:val="18"/>
              </w:rPr>
              <w:t>Un dominio Business: 2.400 USD/año antes de add-ons e impuestos</w:t>
            </w:r>
          </w:p>
        </w:tc>
      </w:tr>
      <w:tr>
        <w:tc>
          <w:tcPr>
            <w:tcW w:type="dxa" w:w="1450"/>
            <w:tcMar>
              <w:top w:w="80" w:type="dxa"/>
              <w:start w:w="120" w:type="dxa"/>
              <w:bottom w:w="80" w:type="dxa"/>
              <w:end w:w="120" w:type="dxa"/>
            </w:tcMar>
            <w:vAlign w:val="center"/>
          </w:tcPr>
          <w:p>
            <w:pPr>
              <w:spacing w:before="0" w:after="0" w:line="276" w:lineRule="auto"/>
            </w:pPr>
            <w:r>
              <w:rPr>
                <w:rFonts w:ascii="Calibri" w:hAnsi="Calibri"/>
                <w:b w:val="0"/>
                <w:color w:val="17202A"/>
                <w:sz w:val="18"/>
              </w:rPr>
              <w:t>CDN, TLS, DDoS</w:t>
            </w:r>
          </w:p>
        </w:tc>
        <w:tc>
          <w:tcPr>
            <w:tcW w:type="dxa" w:w="2550"/>
            <w:tcMar>
              <w:top w:w="80" w:type="dxa"/>
              <w:start w:w="120" w:type="dxa"/>
              <w:bottom w:w="80" w:type="dxa"/>
              <w:end w:w="120" w:type="dxa"/>
            </w:tcMar>
            <w:vAlign w:val="center"/>
          </w:tcPr>
          <w:p>
            <w:pPr>
              <w:spacing w:before="0" w:after="0" w:line="276" w:lineRule="auto"/>
            </w:pPr>
            <w:r>
              <w:rPr>
                <w:rFonts w:ascii="Calibri" w:hAnsi="Calibri"/>
                <w:b w:val="0"/>
                <w:color w:val="17202A"/>
                <w:sz w:val="18"/>
              </w:rPr>
              <w:t>Incluidos</w:t>
            </w:r>
          </w:p>
        </w:tc>
        <w:tc>
          <w:tcPr>
            <w:tcW w:type="dxa" w:w="2680"/>
            <w:tcMar>
              <w:top w:w="80" w:type="dxa"/>
              <w:start w:w="120" w:type="dxa"/>
              <w:bottom w:w="80" w:type="dxa"/>
              <w:end w:w="120" w:type="dxa"/>
            </w:tcMar>
            <w:vAlign w:val="center"/>
          </w:tcPr>
          <w:p>
            <w:pPr>
              <w:spacing w:before="0" w:after="0" w:line="276" w:lineRule="auto"/>
            </w:pPr>
            <w:r>
              <w:rPr>
                <w:rFonts w:ascii="Calibri" w:hAnsi="Calibri"/>
                <w:b w:val="0"/>
                <w:color w:val="17202A"/>
                <w:sz w:val="18"/>
              </w:rPr>
              <w:t>Incluidos</w:t>
            </w:r>
          </w:p>
        </w:tc>
        <w:tc>
          <w:tcPr>
            <w:tcW w:type="dxa" w:w="2680"/>
            <w:tcMar>
              <w:top w:w="80" w:type="dxa"/>
              <w:start w:w="120" w:type="dxa"/>
              <w:bottom w:w="80" w:type="dxa"/>
              <w:end w:w="120" w:type="dxa"/>
            </w:tcMar>
            <w:vAlign w:val="center"/>
          </w:tcPr>
          <w:p>
            <w:pPr>
              <w:spacing w:before="0" w:after="0" w:line="276" w:lineRule="auto"/>
            </w:pPr>
            <w:r>
              <w:rPr>
                <w:rFonts w:ascii="Calibri" w:hAnsi="Calibri"/>
                <w:b w:val="0"/>
                <w:color w:val="17202A"/>
                <w:sz w:val="18"/>
              </w:rPr>
              <w:t>Business cubre la base</w:t>
            </w:r>
          </w:p>
        </w:tc>
      </w:tr>
      <w:tr>
        <w:tc>
          <w:tcPr>
            <w:tcW w:type="dxa" w:w="1450"/>
            <w:tcMar>
              <w:top w:w="80" w:type="dxa"/>
              <w:start w:w="120" w:type="dxa"/>
              <w:bottom w:w="80" w:type="dxa"/>
              <w:end w:w="120" w:type="dxa"/>
            </w:tcMar>
            <w:vAlign w:val="center"/>
          </w:tcPr>
          <w:p>
            <w:pPr>
              <w:spacing w:before="0" w:after="0" w:line="276" w:lineRule="auto"/>
            </w:pPr>
            <w:r>
              <w:rPr>
                <w:rFonts w:ascii="Calibri" w:hAnsi="Calibri"/>
                <w:b w:val="0"/>
                <w:color w:val="17202A"/>
                <w:sz w:val="18"/>
              </w:rPr>
              <w:t>Cache Rules</w:t>
            </w:r>
          </w:p>
        </w:tc>
        <w:tc>
          <w:tcPr>
            <w:tcW w:type="dxa" w:w="2550"/>
            <w:tcMar>
              <w:top w:w="80" w:type="dxa"/>
              <w:start w:w="120" w:type="dxa"/>
              <w:bottom w:w="80" w:type="dxa"/>
              <w:end w:w="120" w:type="dxa"/>
            </w:tcMar>
            <w:vAlign w:val="center"/>
          </w:tcPr>
          <w:p>
            <w:pPr>
              <w:spacing w:before="0" w:after="0" w:line="276" w:lineRule="auto"/>
            </w:pPr>
            <w:r>
              <w:rPr>
                <w:rFonts w:ascii="Calibri" w:hAnsi="Calibri"/>
                <w:b w:val="0"/>
                <w:color w:val="17202A"/>
                <w:sz w:val="18"/>
              </w:rPr>
              <w:t>50</w:t>
            </w:r>
          </w:p>
        </w:tc>
        <w:tc>
          <w:tcPr>
            <w:tcW w:type="dxa" w:w="2680"/>
            <w:tcMar>
              <w:top w:w="80" w:type="dxa"/>
              <w:start w:w="120" w:type="dxa"/>
              <w:bottom w:w="80" w:type="dxa"/>
              <w:end w:w="120" w:type="dxa"/>
            </w:tcMar>
            <w:vAlign w:val="center"/>
          </w:tcPr>
          <w:p>
            <w:pPr>
              <w:spacing w:before="0" w:after="0" w:line="276" w:lineRule="auto"/>
            </w:pPr>
            <w:r>
              <w:rPr>
                <w:rFonts w:ascii="Calibri" w:hAnsi="Calibri"/>
                <w:b w:val="0"/>
                <w:color w:val="17202A"/>
                <w:sz w:val="18"/>
              </w:rPr>
              <w:t>300</w:t>
            </w:r>
          </w:p>
        </w:tc>
        <w:tc>
          <w:tcPr>
            <w:tcW w:type="dxa" w:w="2680"/>
            <w:tcMar>
              <w:top w:w="80" w:type="dxa"/>
              <w:start w:w="120" w:type="dxa"/>
              <w:bottom w:w="80" w:type="dxa"/>
              <w:end w:w="120" w:type="dxa"/>
            </w:tcMar>
            <w:vAlign w:val="center"/>
          </w:tcPr>
          <w:p>
            <w:pPr>
              <w:spacing w:before="0" w:after="0" w:line="276" w:lineRule="auto"/>
            </w:pPr>
            <w:r>
              <w:rPr>
                <w:rFonts w:ascii="Calibri" w:hAnsi="Calibri"/>
                <w:b w:val="0"/>
                <w:color w:val="17202A"/>
                <w:sz w:val="18"/>
              </w:rPr>
              <w:t>Suficiente si se diseña con orden</w:t>
            </w:r>
          </w:p>
        </w:tc>
      </w:tr>
      <w:tr>
        <w:tc>
          <w:tcPr>
            <w:tcW w:type="dxa" w:w="1450"/>
            <w:tcMar>
              <w:top w:w="80" w:type="dxa"/>
              <w:start w:w="120" w:type="dxa"/>
              <w:bottom w:w="80" w:type="dxa"/>
              <w:end w:w="120" w:type="dxa"/>
            </w:tcMar>
            <w:vAlign w:val="center"/>
          </w:tcPr>
          <w:p>
            <w:pPr>
              <w:spacing w:before="0" w:after="0" w:line="276" w:lineRule="auto"/>
            </w:pPr>
            <w:r>
              <w:rPr>
                <w:rFonts w:ascii="Calibri" w:hAnsi="Calibri"/>
                <w:b w:val="0"/>
                <w:color w:val="17202A"/>
                <w:sz w:val="18"/>
              </w:rPr>
              <w:t>Tiered Cache</w:t>
            </w:r>
          </w:p>
        </w:tc>
        <w:tc>
          <w:tcPr>
            <w:tcW w:type="dxa" w:w="2550"/>
            <w:tcMar>
              <w:top w:w="80" w:type="dxa"/>
              <w:start w:w="120" w:type="dxa"/>
              <w:bottom w:w="80" w:type="dxa"/>
              <w:end w:w="120" w:type="dxa"/>
            </w:tcMar>
            <w:vAlign w:val="center"/>
          </w:tcPr>
          <w:p>
            <w:pPr>
              <w:spacing w:before="0" w:after="0" w:line="276" w:lineRule="auto"/>
            </w:pPr>
            <w:r>
              <w:rPr>
                <w:rFonts w:ascii="Calibri" w:hAnsi="Calibri"/>
                <w:b w:val="0"/>
                <w:color w:val="17202A"/>
                <w:sz w:val="18"/>
              </w:rPr>
              <w:t>Smart Topology</w:t>
            </w:r>
          </w:p>
        </w:tc>
        <w:tc>
          <w:tcPr>
            <w:tcW w:type="dxa" w:w="2680"/>
            <w:tcMar>
              <w:top w:w="80" w:type="dxa"/>
              <w:start w:w="120" w:type="dxa"/>
              <w:bottom w:w="80" w:type="dxa"/>
              <w:end w:w="120" w:type="dxa"/>
            </w:tcMar>
            <w:vAlign w:val="center"/>
          </w:tcPr>
          <w:p>
            <w:pPr>
              <w:spacing w:before="0" w:after="0" w:line="276" w:lineRule="auto"/>
            </w:pPr>
            <w:r>
              <w:rPr>
                <w:rFonts w:ascii="Calibri" w:hAnsi="Calibri"/>
                <w:b w:val="0"/>
                <w:color w:val="17202A"/>
                <w:sz w:val="18"/>
              </w:rPr>
              <w:t>Regional, global y personalizada además de Smart</w:t>
            </w:r>
          </w:p>
        </w:tc>
        <w:tc>
          <w:tcPr>
            <w:tcW w:type="dxa" w:w="2680"/>
            <w:tcMar>
              <w:top w:w="80" w:type="dxa"/>
              <w:start w:w="120" w:type="dxa"/>
              <w:bottom w:w="80" w:type="dxa"/>
              <w:end w:w="120" w:type="dxa"/>
            </w:tcMar>
            <w:vAlign w:val="center"/>
          </w:tcPr>
          <w:p>
            <w:pPr>
              <w:spacing w:before="0" w:after="0" w:line="276" w:lineRule="auto"/>
            </w:pPr>
            <w:r>
              <w:rPr>
                <w:rFonts w:ascii="Calibri" w:hAnsi="Calibri"/>
                <w:b w:val="0"/>
                <w:color w:val="17202A"/>
                <w:sz w:val="18"/>
              </w:rPr>
              <w:t>Business reduce hits al origen; no añade capa regional</w:t>
            </w:r>
          </w:p>
        </w:tc>
      </w:tr>
      <w:tr>
        <w:tc>
          <w:tcPr>
            <w:tcW w:type="dxa" w:w="1450"/>
            <w:tcMar>
              <w:top w:w="80" w:type="dxa"/>
              <w:start w:w="120" w:type="dxa"/>
              <w:bottom w:w="80" w:type="dxa"/>
              <w:end w:w="120" w:type="dxa"/>
            </w:tcMar>
            <w:vAlign w:val="center"/>
          </w:tcPr>
          <w:p>
            <w:pPr>
              <w:spacing w:before="0" w:after="0" w:line="276" w:lineRule="auto"/>
            </w:pPr>
            <w:r>
              <w:rPr>
                <w:rFonts w:ascii="Calibri" w:hAnsi="Calibri"/>
                <w:b w:val="0"/>
                <w:color w:val="17202A"/>
                <w:sz w:val="18"/>
              </w:rPr>
              <w:t>Purga</w:t>
            </w:r>
          </w:p>
        </w:tc>
        <w:tc>
          <w:tcPr>
            <w:tcW w:type="dxa" w:w="2550"/>
            <w:tcMar>
              <w:top w:w="80" w:type="dxa"/>
              <w:start w:w="120" w:type="dxa"/>
              <w:bottom w:w="80" w:type="dxa"/>
              <w:end w:w="120" w:type="dxa"/>
            </w:tcMar>
            <w:vAlign w:val="center"/>
          </w:tcPr>
          <w:p>
            <w:pPr>
              <w:spacing w:before="0" w:after="0" w:line="276" w:lineRule="auto"/>
            </w:pPr>
            <w:r>
              <w:rPr>
                <w:rFonts w:ascii="Calibri" w:hAnsi="Calibri"/>
                <w:b w:val="0"/>
                <w:color w:val="17202A"/>
                <w:sz w:val="18"/>
              </w:rPr>
              <w:t>URL, host, prefijo, tag, todo</w:t>
            </w:r>
          </w:p>
        </w:tc>
        <w:tc>
          <w:tcPr>
            <w:tcW w:type="dxa" w:w="2680"/>
            <w:tcMar>
              <w:top w:w="80" w:type="dxa"/>
              <w:start w:w="120" w:type="dxa"/>
              <w:bottom w:w="80" w:type="dxa"/>
              <w:end w:w="120" w:type="dxa"/>
            </w:tcMar>
            <w:vAlign w:val="center"/>
          </w:tcPr>
          <w:p>
            <w:pPr>
              <w:spacing w:before="0" w:after="0" w:line="276" w:lineRule="auto"/>
            </w:pPr>
            <w:r>
              <w:rPr>
                <w:rFonts w:ascii="Calibri" w:hAnsi="Calibri"/>
                <w:b w:val="0"/>
                <w:color w:val="17202A"/>
                <w:sz w:val="18"/>
              </w:rPr>
              <w:t>Mismos métodos, límites mayores</w:t>
            </w:r>
          </w:p>
        </w:tc>
        <w:tc>
          <w:tcPr>
            <w:tcW w:type="dxa" w:w="2680"/>
            <w:tcMar>
              <w:top w:w="80" w:type="dxa"/>
              <w:start w:w="120" w:type="dxa"/>
              <w:bottom w:w="80" w:type="dxa"/>
              <w:end w:w="120" w:type="dxa"/>
            </w:tcMar>
            <w:vAlign w:val="center"/>
          </w:tcPr>
          <w:p>
            <w:pPr>
              <w:spacing w:before="0" w:after="0" w:line="276" w:lineRule="auto"/>
            </w:pPr>
            <w:r>
              <w:rPr>
                <w:rFonts w:ascii="Calibri" w:hAnsi="Calibri"/>
                <w:b w:val="0"/>
                <w:color w:val="17202A"/>
                <w:sz w:val="18"/>
              </w:rPr>
              <w:t>Business cubre purga avanzada habitual</w:t>
            </w:r>
          </w:p>
        </w:tc>
      </w:tr>
      <w:tr>
        <w:tc>
          <w:tcPr>
            <w:tcW w:type="dxa" w:w="1450"/>
            <w:tcMar>
              <w:top w:w="80" w:type="dxa"/>
              <w:start w:w="120" w:type="dxa"/>
              <w:bottom w:w="80" w:type="dxa"/>
              <w:end w:w="120" w:type="dxa"/>
            </w:tcMar>
            <w:vAlign w:val="center"/>
          </w:tcPr>
          <w:p>
            <w:pPr>
              <w:spacing w:before="0" w:after="0" w:line="276" w:lineRule="auto"/>
            </w:pPr>
            <w:r>
              <w:rPr>
                <w:rFonts w:ascii="Calibri" w:hAnsi="Calibri"/>
                <w:b w:val="0"/>
                <w:color w:val="17202A"/>
                <w:sz w:val="18"/>
              </w:rPr>
              <w:t>Custom WAF Rules</w:t>
            </w:r>
          </w:p>
        </w:tc>
        <w:tc>
          <w:tcPr>
            <w:tcW w:type="dxa" w:w="2550"/>
            <w:tcMar>
              <w:top w:w="80" w:type="dxa"/>
              <w:start w:w="120" w:type="dxa"/>
              <w:bottom w:w="80" w:type="dxa"/>
              <w:end w:w="120" w:type="dxa"/>
            </w:tcMar>
            <w:vAlign w:val="center"/>
          </w:tcPr>
          <w:p>
            <w:pPr>
              <w:spacing w:before="0" w:after="0" w:line="276" w:lineRule="auto"/>
            </w:pPr>
            <w:r>
              <w:rPr>
                <w:rFonts w:ascii="Calibri" w:hAnsi="Calibri"/>
                <w:b w:val="0"/>
                <w:color w:val="17202A"/>
                <w:sz w:val="18"/>
              </w:rPr>
              <w:t>100</w:t>
            </w:r>
          </w:p>
        </w:tc>
        <w:tc>
          <w:tcPr>
            <w:tcW w:type="dxa" w:w="2680"/>
            <w:tcMar>
              <w:top w:w="80" w:type="dxa"/>
              <w:start w:w="120" w:type="dxa"/>
              <w:bottom w:w="80" w:type="dxa"/>
              <w:end w:w="120" w:type="dxa"/>
            </w:tcMar>
            <w:vAlign w:val="center"/>
          </w:tcPr>
          <w:p>
            <w:pPr>
              <w:spacing w:before="0" w:after="0" w:line="276" w:lineRule="auto"/>
            </w:pPr>
            <w:r>
              <w:rPr>
                <w:rFonts w:ascii="Calibri" w:hAnsi="Calibri"/>
                <w:b w:val="0"/>
                <w:color w:val="17202A"/>
                <w:sz w:val="18"/>
              </w:rPr>
              <w:t>1.000</w:t>
            </w:r>
          </w:p>
        </w:tc>
        <w:tc>
          <w:tcPr>
            <w:tcW w:type="dxa" w:w="2680"/>
            <w:tcMar>
              <w:top w:w="80" w:type="dxa"/>
              <w:start w:w="120" w:type="dxa"/>
              <w:bottom w:w="80" w:type="dxa"/>
              <w:end w:w="120" w:type="dxa"/>
            </w:tcMar>
            <w:vAlign w:val="center"/>
          </w:tcPr>
          <w:p>
            <w:pPr>
              <w:spacing w:before="0" w:after="0" w:line="276" w:lineRule="auto"/>
            </w:pPr>
            <w:r>
              <w:rPr>
                <w:rFonts w:ascii="Calibri" w:hAnsi="Calibri"/>
                <w:b w:val="0"/>
                <w:color w:val="17202A"/>
                <w:sz w:val="18"/>
              </w:rPr>
              <w:t>100 suele ser suficiente para un dominio</w:t>
            </w:r>
          </w:p>
        </w:tc>
      </w:tr>
      <w:tr>
        <w:tc>
          <w:tcPr>
            <w:tcW w:type="dxa" w:w="1450"/>
            <w:tcMar>
              <w:top w:w="80" w:type="dxa"/>
              <w:start w:w="120" w:type="dxa"/>
              <w:bottom w:w="80" w:type="dxa"/>
              <w:end w:w="120" w:type="dxa"/>
            </w:tcMar>
            <w:vAlign w:val="center"/>
          </w:tcPr>
          <w:p>
            <w:pPr>
              <w:spacing w:before="0" w:after="0" w:line="276" w:lineRule="auto"/>
            </w:pPr>
            <w:r>
              <w:rPr>
                <w:rFonts w:ascii="Calibri" w:hAnsi="Calibri"/>
                <w:b w:val="0"/>
                <w:color w:val="17202A"/>
                <w:sz w:val="18"/>
              </w:rPr>
              <w:t>Rate limiting</w:t>
            </w:r>
          </w:p>
        </w:tc>
        <w:tc>
          <w:tcPr>
            <w:tcW w:type="dxa" w:w="2550"/>
            <w:tcMar>
              <w:top w:w="80" w:type="dxa"/>
              <w:start w:w="120" w:type="dxa"/>
              <w:bottom w:w="80" w:type="dxa"/>
              <w:end w:w="120" w:type="dxa"/>
            </w:tcMar>
            <w:vAlign w:val="center"/>
          </w:tcPr>
          <w:p>
            <w:pPr>
              <w:spacing w:before="0" w:after="0" w:line="276" w:lineRule="auto"/>
            </w:pPr>
            <w:r>
              <w:rPr>
                <w:rFonts w:ascii="Calibri" w:hAnsi="Calibri"/>
                <w:b w:val="0"/>
                <w:color w:val="17202A"/>
                <w:sz w:val="18"/>
              </w:rPr>
              <w:t>5 reglas</w:t>
            </w:r>
          </w:p>
        </w:tc>
        <w:tc>
          <w:tcPr>
            <w:tcW w:type="dxa" w:w="2680"/>
            <w:tcMar>
              <w:top w:w="80" w:type="dxa"/>
              <w:start w:w="120" w:type="dxa"/>
              <w:bottom w:w="80" w:type="dxa"/>
              <w:end w:w="120" w:type="dxa"/>
            </w:tcMar>
            <w:vAlign w:val="center"/>
          </w:tcPr>
          <w:p>
            <w:pPr>
              <w:spacing w:before="0" w:after="0" w:line="276" w:lineRule="auto"/>
            </w:pPr>
            <w:r>
              <w:rPr>
                <w:rFonts w:ascii="Calibri" w:hAnsi="Calibri"/>
                <w:b w:val="0"/>
                <w:color w:val="17202A"/>
                <w:sz w:val="18"/>
              </w:rPr>
              <w:t>Hasta 100 según contrato</w:t>
            </w:r>
          </w:p>
        </w:tc>
        <w:tc>
          <w:tcPr>
            <w:tcW w:type="dxa" w:w="2680"/>
            <w:tcMar>
              <w:top w:w="80" w:type="dxa"/>
              <w:start w:w="120" w:type="dxa"/>
              <w:bottom w:w="80" w:type="dxa"/>
              <w:end w:w="120" w:type="dxa"/>
            </w:tcMar>
            <w:vAlign w:val="center"/>
          </w:tcPr>
          <w:p>
            <w:pPr>
              <w:spacing w:before="0" w:after="0" w:line="276" w:lineRule="auto"/>
            </w:pPr>
            <w:r>
              <w:rPr>
                <w:rFonts w:ascii="Calibri" w:hAnsi="Calibri"/>
                <w:b w:val="0"/>
                <w:color w:val="17202A"/>
                <w:sz w:val="18"/>
              </w:rPr>
              <w:t>Priorizar endpoints críticos</w:t>
            </w:r>
          </w:p>
        </w:tc>
      </w:tr>
      <w:tr>
        <w:tc>
          <w:tcPr>
            <w:tcW w:type="dxa" w:w="1450"/>
            <w:tcMar>
              <w:top w:w="80" w:type="dxa"/>
              <w:start w:w="120" w:type="dxa"/>
              <w:bottom w:w="80" w:type="dxa"/>
              <w:end w:w="120" w:type="dxa"/>
            </w:tcMar>
            <w:vAlign w:val="center"/>
          </w:tcPr>
          <w:p>
            <w:pPr>
              <w:spacing w:before="0" w:after="0" w:line="276" w:lineRule="auto"/>
            </w:pPr>
            <w:r>
              <w:rPr>
                <w:rFonts w:ascii="Calibri" w:hAnsi="Calibri"/>
                <w:b w:val="0"/>
                <w:color w:val="17202A"/>
                <w:sz w:val="18"/>
              </w:rPr>
              <w:t>Bots</w:t>
            </w:r>
          </w:p>
        </w:tc>
        <w:tc>
          <w:tcPr>
            <w:tcW w:type="dxa" w:w="2550"/>
            <w:tcMar>
              <w:top w:w="80" w:type="dxa"/>
              <w:start w:w="120" w:type="dxa"/>
              <w:bottom w:w="80" w:type="dxa"/>
              <w:end w:w="120" w:type="dxa"/>
            </w:tcMar>
            <w:vAlign w:val="center"/>
          </w:tcPr>
          <w:p>
            <w:pPr>
              <w:spacing w:before="0" w:after="0" w:line="276" w:lineRule="auto"/>
            </w:pPr>
            <w:r>
              <w:rPr>
                <w:rFonts w:ascii="Calibri" w:hAnsi="Calibri"/>
                <w:b w:val="0"/>
                <w:color w:val="17202A"/>
                <w:sz w:val="18"/>
              </w:rPr>
              <w:t>Super Bot Fight Mode</w:t>
            </w:r>
          </w:p>
        </w:tc>
        <w:tc>
          <w:tcPr>
            <w:tcW w:type="dxa" w:w="2680"/>
            <w:tcMar>
              <w:top w:w="80" w:type="dxa"/>
              <w:start w:w="120" w:type="dxa"/>
              <w:bottom w:w="80" w:type="dxa"/>
              <w:end w:w="120" w:type="dxa"/>
            </w:tcMar>
            <w:vAlign w:val="center"/>
          </w:tcPr>
          <w:p>
            <w:pPr>
              <w:spacing w:before="0" w:after="0" w:line="276" w:lineRule="auto"/>
            </w:pPr>
            <w:r>
              <w:rPr>
                <w:rFonts w:ascii="Calibri" w:hAnsi="Calibri"/>
                <w:b w:val="0"/>
                <w:color w:val="17202A"/>
                <w:sz w:val="18"/>
              </w:rPr>
              <w:t>Bot Management avanzado como add-on</w:t>
            </w:r>
          </w:p>
        </w:tc>
        <w:tc>
          <w:tcPr>
            <w:tcW w:type="dxa" w:w="2680"/>
            <w:tcMar>
              <w:top w:w="80" w:type="dxa"/>
              <w:start w:w="120" w:type="dxa"/>
              <w:bottom w:w="80" w:type="dxa"/>
              <w:end w:w="120" w:type="dxa"/>
            </w:tcMar>
            <w:vAlign w:val="center"/>
          </w:tcPr>
          <w:p>
            <w:pPr>
              <w:spacing w:before="0" w:after="0" w:line="276" w:lineRule="auto"/>
            </w:pPr>
            <w:r>
              <w:rPr>
                <w:rFonts w:ascii="Calibri" w:hAnsi="Calibri"/>
                <w:b w:val="0"/>
                <w:color w:val="17202A"/>
                <w:sz w:val="18"/>
              </w:rPr>
              <w:t>Menor granularidad en Business</w:t>
            </w:r>
          </w:p>
        </w:tc>
      </w:tr>
      <w:tr>
        <w:tc>
          <w:tcPr>
            <w:tcW w:type="dxa" w:w="1450"/>
            <w:tcMar>
              <w:top w:w="80" w:type="dxa"/>
              <w:start w:w="120" w:type="dxa"/>
              <w:bottom w:w="80" w:type="dxa"/>
              <w:end w:w="120" w:type="dxa"/>
            </w:tcMar>
            <w:vAlign w:val="center"/>
          </w:tcPr>
          <w:p>
            <w:pPr>
              <w:spacing w:before="0" w:after="0" w:line="276" w:lineRule="auto"/>
            </w:pPr>
            <w:r>
              <w:rPr>
                <w:rFonts w:ascii="Calibri" w:hAnsi="Calibri"/>
                <w:b w:val="0"/>
                <w:color w:val="17202A"/>
                <w:sz w:val="18"/>
              </w:rPr>
              <w:t>Cache key avanzada</w:t>
            </w:r>
          </w:p>
        </w:tc>
        <w:tc>
          <w:tcPr>
            <w:tcW w:type="dxa" w:w="2550"/>
            <w:tcMar>
              <w:top w:w="80" w:type="dxa"/>
              <w:start w:w="120" w:type="dxa"/>
              <w:bottom w:w="80" w:type="dxa"/>
              <w:end w:w="120" w:type="dxa"/>
            </w:tcMar>
            <w:vAlign w:val="center"/>
          </w:tcPr>
          <w:p>
            <w:pPr>
              <w:spacing w:before="0" w:after="0" w:line="276" w:lineRule="auto"/>
            </w:pPr>
            <w:r>
              <w:rPr>
                <w:rFonts w:ascii="Calibri" w:hAnsi="Calibri"/>
                <w:b w:val="0"/>
                <w:color w:val="17202A"/>
                <w:sz w:val="18"/>
              </w:rPr>
              <w:t>Limitada</w:t>
            </w:r>
          </w:p>
        </w:tc>
        <w:tc>
          <w:tcPr>
            <w:tcW w:type="dxa" w:w="2680"/>
            <w:tcMar>
              <w:top w:w="80" w:type="dxa"/>
              <w:start w:w="120" w:type="dxa"/>
              <w:bottom w:w="80" w:type="dxa"/>
              <w:end w:w="120" w:type="dxa"/>
            </w:tcMar>
            <w:vAlign w:val="center"/>
          </w:tcPr>
          <w:p>
            <w:pPr>
              <w:spacing w:before="0" w:after="0" w:line="276" w:lineRule="auto"/>
            </w:pPr>
            <w:r>
              <w:rPr>
                <w:rFonts w:ascii="Calibri" w:hAnsi="Calibri"/>
                <w:b w:val="0"/>
                <w:color w:val="17202A"/>
                <w:sz w:val="18"/>
              </w:rPr>
              <w:t>Cookies, cabeceras y componentes avanzados</w:t>
            </w:r>
          </w:p>
        </w:tc>
        <w:tc>
          <w:tcPr>
            <w:tcW w:type="dxa" w:w="2680"/>
            <w:tcMar>
              <w:top w:w="80" w:type="dxa"/>
              <w:start w:w="120" w:type="dxa"/>
              <w:bottom w:w="80" w:type="dxa"/>
              <w:end w:w="120" w:type="dxa"/>
            </w:tcMar>
            <w:vAlign w:val="center"/>
          </w:tcPr>
          <w:p>
            <w:pPr>
              <w:spacing w:before="0" w:after="0" w:line="276" w:lineRule="auto"/>
            </w:pPr>
            <w:r>
              <w:rPr>
                <w:rFonts w:ascii="Calibri" w:hAnsi="Calibri"/>
                <w:b w:val="0"/>
                <w:color w:val="17202A"/>
                <w:sz w:val="18"/>
              </w:rPr>
              <w:t>Puede limitar HTML personalizado</w:t>
            </w:r>
          </w:p>
        </w:tc>
      </w:tr>
      <w:tr>
        <w:tc>
          <w:tcPr>
            <w:tcW w:type="dxa" w:w="1450"/>
            <w:tcMar>
              <w:top w:w="80" w:type="dxa"/>
              <w:start w:w="120" w:type="dxa"/>
              <w:bottom w:w="80" w:type="dxa"/>
              <w:end w:w="120" w:type="dxa"/>
            </w:tcMar>
            <w:vAlign w:val="center"/>
          </w:tcPr>
          <w:p>
            <w:pPr>
              <w:spacing w:before="0" w:after="0" w:line="276" w:lineRule="auto"/>
            </w:pPr>
            <w:r>
              <w:rPr>
                <w:rFonts w:ascii="Calibri" w:hAnsi="Calibri"/>
                <w:b w:val="0"/>
                <w:color w:val="17202A"/>
                <w:sz w:val="18"/>
              </w:rPr>
              <w:t>Origin overrides</w:t>
            </w:r>
          </w:p>
        </w:tc>
        <w:tc>
          <w:tcPr>
            <w:tcW w:type="dxa" w:w="2550"/>
            <w:tcMar>
              <w:top w:w="80" w:type="dxa"/>
              <w:start w:w="120" w:type="dxa"/>
              <w:bottom w:w="80" w:type="dxa"/>
              <w:end w:w="120" w:type="dxa"/>
            </w:tcMar>
            <w:vAlign w:val="center"/>
          </w:tcPr>
          <w:p>
            <w:pPr>
              <w:spacing w:before="0" w:after="0" w:line="276" w:lineRule="auto"/>
            </w:pPr>
            <w:r>
              <w:rPr>
                <w:rFonts w:ascii="Calibri" w:hAnsi="Calibri"/>
                <w:b w:val="0"/>
                <w:color w:val="17202A"/>
                <w:sz w:val="18"/>
              </w:rPr>
              <w:t>Sin Host/SNI/DNS override en Origin Rules</w:t>
            </w:r>
          </w:p>
        </w:tc>
        <w:tc>
          <w:tcPr>
            <w:tcW w:type="dxa" w:w="2680"/>
            <w:tcMar>
              <w:top w:w="80" w:type="dxa"/>
              <w:start w:w="120" w:type="dxa"/>
              <w:bottom w:w="80" w:type="dxa"/>
              <w:end w:w="120" w:type="dxa"/>
            </w:tcMar>
            <w:vAlign w:val="center"/>
          </w:tcPr>
          <w:p>
            <w:pPr>
              <w:spacing w:before="0" w:after="0" w:line="276" w:lineRule="auto"/>
            </w:pPr>
            <w:r>
              <w:rPr>
                <w:rFonts w:ascii="Calibri" w:hAnsi="Calibri"/>
                <w:b w:val="0"/>
                <w:color w:val="17202A"/>
                <w:sz w:val="18"/>
              </w:rPr>
              <w:t>Disponible</w:t>
            </w:r>
          </w:p>
        </w:tc>
        <w:tc>
          <w:tcPr>
            <w:tcW w:type="dxa" w:w="2680"/>
            <w:tcMar>
              <w:top w:w="80" w:type="dxa"/>
              <w:start w:w="120" w:type="dxa"/>
              <w:bottom w:w="80" w:type="dxa"/>
              <w:end w:w="120" w:type="dxa"/>
            </w:tcMar>
            <w:vAlign w:val="center"/>
          </w:tcPr>
          <w:p>
            <w:pPr>
              <w:spacing w:before="0" w:after="0" w:line="276" w:lineRule="auto"/>
            </w:pPr>
            <w:r>
              <w:rPr>
                <w:rFonts w:ascii="Calibri" w:hAnsi="Calibri"/>
                <w:b w:val="0"/>
                <w:color w:val="17202A"/>
                <w:sz w:val="18"/>
              </w:rPr>
              <w:t>Gap técnico a validar</w:t>
            </w:r>
          </w:p>
        </w:tc>
      </w:tr>
      <w:tr>
        <w:tc>
          <w:tcPr>
            <w:tcW w:type="dxa" w:w="1450"/>
            <w:tcMar>
              <w:top w:w="80" w:type="dxa"/>
              <w:start w:w="120" w:type="dxa"/>
              <w:bottom w:w="80" w:type="dxa"/>
              <w:end w:w="120" w:type="dxa"/>
            </w:tcMar>
            <w:vAlign w:val="center"/>
          </w:tcPr>
          <w:p>
            <w:pPr>
              <w:spacing w:before="0" w:after="0" w:line="276" w:lineRule="auto"/>
            </w:pPr>
            <w:r>
              <w:rPr>
                <w:rFonts w:ascii="Calibri" w:hAnsi="Calibri"/>
                <w:b w:val="0"/>
                <w:color w:val="17202A"/>
                <w:sz w:val="18"/>
              </w:rPr>
              <w:t>Logs HTTP</w:t>
            </w:r>
          </w:p>
        </w:tc>
        <w:tc>
          <w:tcPr>
            <w:tcW w:type="dxa" w:w="2550"/>
            <w:tcMar>
              <w:top w:w="80" w:type="dxa"/>
              <w:start w:w="120" w:type="dxa"/>
              <w:bottom w:w="80" w:type="dxa"/>
              <w:end w:w="120" w:type="dxa"/>
            </w:tcMar>
            <w:vAlign w:val="center"/>
          </w:tcPr>
          <w:p>
            <w:pPr>
              <w:spacing w:before="0" w:after="0" w:line="276" w:lineRule="auto"/>
            </w:pPr>
            <w:r>
              <w:rPr>
                <w:rFonts w:ascii="Calibri" w:hAnsi="Calibri"/>
                <w:b w:val="0"/>
                <w:color w:val="17202A"/>
                <w:sz w:val="18"/>
              </w:rPr>
              <w:t>Sin Logpush HTTP</w:t>
            </w:r>
          </w:p>
        </w:tc>
        <w:tc>
          <w:tcPr>
            <w:tcW w:type="dxa" w:w="2680"/>
            <w:tcMar>
              <w:top w:w="80" w:type="dxa"/>
              <w:start w:w="120" w:type="dxa"/>
              <w:bottom w:w="80" w:type="dxa"/>
              <w:end w:w="120" w:type="dxa"/>
            </w:tcMar>
            <w:vAlign w:val="center"/>
          </w:tcPr>
          <w:p>
            <w:pPr>
              <w:spacing w:before="0" w:after="0" w:line="276" w:lineRule="auto"/>
            </w:pPr>
            <w:r>
              <w:rPr>
                <w:rFonts w:ascii="Calibri" w:hAnsi="Calibri"/>
                <w:b w:val="0"/>
                <w:color w:val="17202A"/>
                <w:sz w:val="18"/>
              </w:rPr>
              <w:t>Logpush/SIEM</w:t>
            </w:r>
          </w:p>
        </w:tc>
        <w:tc>
          <w:tcPr>
            <w:tcW w:type="dxa" w:w="2680"/>
            <w:tcMar>
              <w:top w:w="80" w:type="dxa"/>
              <w:start w:w="120" w:type="dxa"/>
              <w:bottom w:w="80" w:type="dxa"/>
              <w:end w:w="120" w:type="dxa"/>
            </w:tcMar>
            <w:vAlign w:val="center"/>
          </w:tcPr>
          <w:p>
            <w:pPr>
              <w:spacing w:before="0" w:after="0" w:line="276" w:lineRule="auto"/>
            </w:pPr>
            <w:r>
              <w:rPr>
                <w:rFonts w:ascii="Calibri" w:hAnsi="Calibri"/>
                <w:b w:val="0"/>
                <w:color w:val="17202A"/>
                <w:sz w:val="18"/>
              </w:rPr>
              <w:t>Gap de observabilidad importante</w:t>
            </w:r>
          </w:p>
        </w:tc>
      </w:tr>
      <w:tr>
        <w:tc>
          <w:tcPr>
            <w:tcW w:type="dxa" w:w="1450"/>
            <w:tcMar>
              <w:top w:w="80" w:type="dxa"/>
              <w:start w:w="120" w:type="dxa"/>
              <w:bottom w:w="80" w:type="dxa"/>
              <w:end w:w="120" w:type="dxa"/>
            </w:tcMar>
            <w:vAlign w:val="center"/>
          </w:tcPr>
          <w:p>
            <w:pPr>
              <w:spacing w:before="0" w:after="0" w:line="276" w:lineRule="auto"/>
            </w:pPr>
            <w:r>
              <w:rPr>
                <w:rFonts w:ascii="Calibri" w:hAnsi="Calibri"/>
                <w:b w:val="0"/>
                <w:color w:val="17202A"/>
                <w:sz w:val="18"/>
              </w:rPr>
              <w:t>Soporte</w:t>
            </w:r>
          </w:p>
        </w:tc>
        <w:tc>
          <w:tcPr>
            <w:tcW w:type="dxa" w:w="2550"/>
            <w:tcMar>
              <w:top w:w="80" w:type="dxa"/>
              <w:start w:w="120" w:type="dxa"/>
              <w:bottom w:w="80" w:type="dxa"/>
              <w:end w:w="120" w:type="dxa"/>
            </w:tcMar>
            <w:vAlign w:val="center"/>
          </w:tcPr>
          <w:p>
            <w:pPr>
              <w:spacing w:before="0" w:after="0" w:line="276" w:lineRule="auto"/>
            </w:pPr>
            <w:r>
              <w:rPr>
                <w:rFonts w:ascii="Calibri" w:hAnsi="Calibri"/>
                <w:b w:val="0"/>
                <w:color w:val="17202A"/>
                <w:sz w:val="18"/>
              </w:rPr>
              <w:t>Chat y ticket</w:t>
            </w:r>
          </w:p>
        </w:tc>
        <w:tc>
          <w:tcPr>
            <w:tcW w:type="dxa" w:w="2680"/>
            <w:tcMar>
              <w:top w:w="80" w:type="dxa"/>
              <w:start w:w="120" w:type="dxa"/>
              <w:bottom w:w="80" w:type="dxa"/>
              <w:end w:w="120" w:type="dxa"/>
            </w:tcMar>
            <w:vAlign w:val="center"/>
          </w:tcPr>
          <w:p>
            <w:pPr>
              <w:spacing w:before="0" w:after="0" w:line="276" w:lineRule="auto"/>
            </w:pPr>
            <w:r>
              <w:rPr>
                <w:rFonts w:ascii="Calibri" w:hAnsi="Calibri"/>
                <w:b w:val="0"/>
                <w:color w:val="17202A"/>
                <w:sz w:val="18"/>
              </w:rPr>
              <w:t>Prioridad, teléfono y compromisos contractuales</w:t>
            </w:r>
          </w:p>
        </w:tc>
        <w:tc>
          <w:tcPr>
            <w:tcW w:type="dxa" w:w="2680"/>
            <w:tcMar>
              <w:top w:w="80" w:type="dxa"/>
              <w:start w:w="120" w:type="dxa"/>
              <w:bottom w:w="80" w:type="dxa"/>
              <w:end w:w="120" w:type="dxa"/>
            </w:tcMar>
            <w:vAlign w:val="center"/>
          </w:tcPr>
          <w:p>
            <w:pPr>
              <w:spacing w:before="0" w:after="0" w:line="276" w:lineRule="auto"/>
            </w:pPr>
            <w:r>
              <w:rPr>
                <w:rFonts w:ascii="Calibri" w:hAnsi="Calibri"/>
                <w:b w:val="0"/>
                <w:color w:val="17202A"/>
                <w:sz w:val="18"/>
              </w:rPr>
              <w:t>Riesgo operativo, no solo técnico</w:t>
            </w:r>
          </w:p>
        </w:tc>
      </w:tr>
      <w:tr>
        <w:tc>
          <w:tcPr>
            <w:tcW w:type="dxa" w:w="1450"/>
            <w:tcMar>
              <w:top w:w="80" w:type="dxa"/>
              <w:start w:w="120" w:type="dxa"/>
              <w:bottom w:w="80" w:type="dxa"/>
              <w:end w:w="120" w:type="dxa"/>
            </w:tcMar>
            <w:vAlign w:val="center"/>
          </w:tcPr>
          <w:p>
            <w:pPr>
              <w:spacing w:before="0" w:after="0" w:line="276" w:lineRule="auto"/>
            </w:pPr>
            <w:r>
              <w:rPr>
                <w:rFonts w:ascii="Calibri" w:hAnsi="Calibri"/>
                <w:b w:val="0"/>
                <w:color w:val="17202A"/>
                <w:sz w:val="18"/>
              </w:rPr>
              <w:t>Reglas de cuenta</w:t>
            </w:r>
          </w:p>
        </w:tc>
        <w:tc>
          <w:tcPr>
            <w:tcW w:type="dxa" w:w="2550"/>
            <w:tcMar>
              <w:top w:w="80" w:type="dxa"/>
              <w:start w:w="120" w:type="dxa"/>
              <w:bottom w:w="80" w:type="dxa"/>
              <w:end w:w="120" w:type="dxa"/>
            </w:tcMar>
            <w:vAlign w:val="center"/>
          </w:tcPr>
          <w:p>
            <w:pPr>
              <w:spacing w:before="0" w:after="0" w:line="276" w:lineRule="auto"/>
            </w:pPr>
            <w:r>
              <w:rPr>
                <w:rFonts w:ascii="Calibri" w:hAnsi="Calibri"/>
                <w:b w:val="0"/>
                <w:color w:val="17202A"/>
                <w:sz w:val="18"/>
              </w:rPr>
              <w:t>Principalmente por zona</w:t>
            </w:r>
          </w:p>
        </w:tc>
        <w:tc>
          <w:tcPr>
            <w:tcW w:type="dxa" w:w="2680"/>
            <w:tcMar>
              <w:top w:w="80" w:type="dxa"/>
              <w:start w:w="120" w:type="dxa"/>
              <w:bottom w:w="80" w:type="dxa"/>
              <w:end w:w="120" w:type="dxa"/>
            </w:tcMar>
            <w:vAlign w:val="center"/>
          </w:tcPr>
          <w:p>
            <w:pPr>
              <w:spacing w:before="0" w:after="0" w:line="276" w:lineRule="auto"/>
            </w:pPr>
            <w:r>
              <w:rPr>
                <w:rFonts w:ascii="Calibri" w:hAnsi="Calibri"/>
                <w:b w:val="0"/>
                <w:color w:val="17202A"/>
                <w:sz w:val="18"/>
              </w:rPr>
              <w:t>Gobierno multi-zona avanzado</w:t>
            </w:r>
          </w:p>
        </w:tc>
        <w:tc>
          <w:tcPr>
            <w:tcW w:type="dxa" w:w="2680"/>
            <w:tcMar>
              <w:top w:w="80" w:type="dxa"/>
              <w:start w:w="120" w:type="dxa"/>
              <w:bottom w:w="80" w:type="dxa"/>
              <w:end w:w="120" w:type="dxa"/>
            </w:tcMar>
            <w:vAlign w:val="center"/>
          </w:tcPr>
          <w:p>
            <w:pPr>
              <w:spacing w:before="0" w:after="0" w:line="276" w:lineRule="auto"/>
            </w:pPr>
            <w:r>
              <w:rPr>
                <w:rFonts w:ascii="Calibri" w:hAnsi="Calibri"/>
                <w:b w:val="0"/>
                <w:color w:val="17202A"/>
                <w:sz w:val="18"/>
              </w:rPr>
              <w:t>Más útil para varios países</w:t>
            </w:r>
          </w:p>
        </w:tc>
      </w:tr>
    </w:tbl>
    <w:p>
      <w:pPr>
        <w:spacing w:before="0" w:after="40"/>
      </w:pPr>
    </w:p>
    <w:p>
      <w:pPr>
        <w:pStyle w:val="Heading2"/>
      </w:pPr>
      <w:r>
        <w:rPr>
          <w:rFonts w:ascii="Calibri" w:hAnsi="Calibri"/>
          <w:b/>
          <w:color w:val="2E74B5"/>
          <w:sz w:val="26"/>
        </w:rPr>
        <w:t>7.2. Cuándo Business es una elección razonable</w:t>
      </w:r>
    </w:p>
    <w:p>
      <w:pPr>
        <w:numPr>
          <w:ilvl w:val="0"/>
          <w:numId w:val="10"/>
        </w:numPr>
      </w:pPr>
      <w:r>
        <w:rPr>
          <w:rFonts w:ascii="Calibri" w:hAnsi="Calibri"/>
          <w:b w:val="0"/>
          <w:color w:val="17202A"/>
          <w:sz w:val="22"/>
        </w:rPr>
        <w:t>Piloto de un dominio.</w:t>
      </w:r>
    </w:p>
    <w:p>
      <w:pPr>
        <w:numPr>
          <w:ilvl w:val="0"/>
          <w:numId w:val="10"/>
        </w:numPr>
      </w:pPr>
      <w:r>
        <w:rPr>
          <w:rFonts w:ascii="Calibri" w:hAnsi="Calibri"/>
          <w:b w:val="0"/>
          <w:color w:val="17202A"/>
          <w:sz w:val="22"/>
        </w:rPr>
        <w:t>Configuración semejante ya operativa en Suiza.</w:t>
      </w:r>
    </w:p>
    <w:p>
      <w:pPr>
        <w:numPr>
          <w:ilvl w:val="0"/>
          <w:numId w:val="10"/>
        </w:numPr>
      </w:pPr>
      <w:r>
        <w:rPr>
          <w:rFonts w:ascii="Calibri" w:hAnsi="Calibri"/>
          <w:b w:val="0"/>
          <w:color w:val="17202A"/>
          <w:sz w:val="22"/>
        </w:rPr>
        <w:t>Menos de 50 Cache Rules y 100 reglas WAF.</w:t>
      </w:r>
    </w:p>
    <w:p>
      <w:pPr>
        <w:numPr>
          <w:ilvl w:val="0"/>
          <w:numId w:val="10"/>
        </w:numPr>
      </w:pPr>
      <w:r>
        <w:rPr>
          <w:rFonts w:ascii="Calibri" w:hAnsi="Calibri"/>
          <w:b w:val="0"/>
          <w:color w:val="17202A"/>
          <w:sz w:val="22"/>
        </w:rPr>
        <w:t>No se necesitan logs HTTP crudos en SIEM.</w:t>
      </w:r>
    </w:p>
    <w:p>
      <w:pPr>
        <w:numPr>
          <w:ilvl w:val="0"/>
          <w:numId w:val="10"/>
        </w:numPr>
      </w:pPr>
      <w:r>
        <w:rPr>
          <w:rFonts w:ascii="Calibri" w:hAnsi="Calibri"/>
          <w:b w:val="0"/>
          <w:color w:val="17202A"/>
          <w:sz w:val="22"/>
        </w:rPr>
        <w:t>Los orígenes aceptan Host/SNI sin overrides Enterprise.</w:t>
      </w:r>
    </w:p>
    <w:p>
      <w:pPr>
        <w:numPr>
          <w:ilvl w:val="0"/>
          <w:numId w:val="10"/>
        </w:numPr>
      </w:pPr>
      <w:r>
        <w:rPr>
          <w:rFonts w:ascii="Calibri" w:hAnsi="Calibri"/>
          <w:b w:val="0"/>
          <w:color w:val="17202A"/>
          <w:sz w:val="22"/>
        </w:rPr>
        <w:t>El equipo puede probar, operar y revertir.</w:t>
      </w:r>
    </w:p>
    <w:p>
      <w:pPr>
        <w:numPr>
          <w:ilvl w:val="0"/>
          <w:numId w:val="10"/>
        </w:numPr>
      </w:pPr>
      <w:r>
        <w:rPr>
          <w:rFonts w:ascii="Calibri" w:hAnsi="Calibri"/>
          <w:b w:val="0"/>
          <w:color w:val="17202A"/>
          <w:sz w:val="22"/>
        </w:rPr>
        <w:t>Se acepta soporte por chat/ticket.</w:t>
      </w:r>
    </w:p>
    <w:p>
      <w:pPr>
        <w:pStyle w:val="Heading2"/>
      </w:pPr>
      <w:r>
        <w:rPr>
          <w:rFonts w:ascii="Calibri" w:hAnsi="Calibri"/>
          <w:b/>
          <w:color w:val="2E74B5"/>
          <w:sz w:val="26"/>
        </w:rPr>
        <w:t>7.3. Señales para Enterprise</w:t>
      </w:r>
    </w:p>
    <w:p>
      <w:pPr>
        <w:numPr>
          <w:ilvl w:val="0"/>
          <w:numId w:val="10"/>
        </w:numPr>
      </w:pPr>
      <w:r>
        <w:rPr>
          <w:rFonts w:ascii="Calibri" w:hAnsi="Calibri"/>
          <w:b w:val="0"/>
          <w:color w:val="17202A"/>
          <w:sz w:val="22"/>
        </w:rPr>
        <w:t>Exigencia contractual de soporte urgente.</w:t>
      </w:r>
    </w:p>
    <w:p>
      <w:pPr>
        <w:numPr>
          <w:ilvl w:val="0"/>
          <w:numId w:val="10"/>
        </w:numPr>
      </w:pPr>
      <w:r>
        <w:rPr>
          <w:rFonts w:ascii="Calibri" w:hAnsi="Calibri"/>
          <w:b w:val="0"/>
          <w:color w:val="17202A"/>
          <w:sz w:val="22"/>
        </w:rPr>
        <w:t>Necesidad de Logpush/SIEM o forense exhaustiva.</w:t>
      </w:r>
    </w:p>
    <w:p>
      <w:pPr>
        <w:numPr>
          <w:ilvl w:val="0"/>
          <w:numId w:val="10"/>
        </w:numPr>
      </w:pPr>
      <w:r>
        <w:rPr>
          <w:rFonts w:ascii="Calibri" w:hAnsi="Calibri"/>
          <w:b w:val="0"/>
          <w:color w:val="17202A"/>
          <w:sz w:val="22"/>
        </w:rPr>
        <w:t>Bot Management granular para abuso complejo.</w:t>
      </w:r>
    </w:p>
    <w:p>
      <w:pPr>
        <w:numPr>
          <w:ilvl w:val="0"/>
          <w:numId w:val="10"/>
        </w:numPr>
      </w:pPr>
      <w:r>
        <w:rPr>
          <w:rFonts w:ascii="Calibri" w:hAnsi="Calibri"/>
          <w:b w:val="0"/>
          <w:color w:val="17202A"/>
          <w:sz w:val="22"/>
        </w:rPr>
        <w:t>Topología Tiered Cache regional/personalizada.</w:t>
      </w:r>
    </w:p>
    <w:p>
      <w:pPr>
        <w:numPr>
          <w:ilvl w:val="0"/>
          <w:numId w:val="10"/>
        </w:numPr>
      </w:pPr>
      <w:r>
        <w:rPr>
          <w:rFonts w:ascii="Calibri" w:hAnsi="Calibri"/>
          <w:b w:val="0"/>
          <w:color w:val="17202A"/>
          <w:sz w:val="22"/>
        </w:rPr>
        <w:t>Muchas zonas con políticas comunes.</w:t>
      </w:r>
    </w:p>
    <w:p>
      <w:pPr>
        <w:numPr>
          <w:ilvl w:val="0"/>
          <w:numId w:val="10"/>
        </w:numPr>
      </w:pPr>
      <w:r>
        <w:rPr>
          <w:rFonts w:ascii="Calibri" w:hAnsi="Calibri"/>
          <w:b w:val="0"/>
          <w:color w:val="17202A"/>
          <w:sz w:val="22"/>
        </w:rPr>
        <w:t>Overrides de origen que no pueden resolverse de otra forma.</w:t>
      </w:r>
    </w:p>
    <w:p>
      <w:pPr>
        <w:numPr>
          <w:ilvl w:val="0"/>
          <w:numId w:val="10"/>
        </w:numPr>
      </w:pPr>
      <w:r>
        <w:rPr>
          <w:rFonts w:ascii="Calibri" w:hAnsi="Calibri"/>
          <w:b w:val="0"/>
          <w:color w:val="17202A"/>
          <w:sz w:val="22"/>
        </w:rPr>
        <w:t>Requisitos de rate limiting avanzado.</w:t>
      </w:r>
    </w:p>
    <w:p>
      <w:pPr>
        <w:pStyle w:val="Heading2"/>
      </w:pPr>
      <w:r>
        <w:rPr>
          <w:rFonts w:ascii="Calibri" w:hAnsi="Calibri"/>
          <w:b/>
          <w:color w:val="2E74B5"/>
          <w:sz w:val="26"/>
        </w:rPr>
        <w:t>7.4. Comparar el alcance, no solo el precio</w:t>
      </w:r>
    </w:p>
    <w:p>
      <w:r>
        <w:rPr>
          <w:rFonts w:ascii="Calibri" w:hAnsi="Calibri"/>
          <w:b w:val="0"/>
          <w:color w:val="17202A"/>
          <w:sz w:val="22"/>
        </w:rPr>
        <w:t>La propuesta Enterprise puede incluir dos dominios, onboarding, partner, soporte y productos adicionales. Business se factura por dominio y los add-ons se cobran aparte. La comparación económica debe separar:</w:t>
      </w:r>
    </w:p>
    <w:p>
      <w:pPr>
        <w:numPr>
          <w:ilvl w:val="0"/>
          <w:numId w:val="10"/>
        </w:numPr>
      </w:pPr>
      <w:r>
        <w:rPr>
          <w:rFonts w:ascii="Calibri" w:hAnsi="Calibri"/>
          <w:b w:val="0"/>
          <w:color w:val="17202A"/>
          <w:sz w:val="22"/>
        </w:rPr>
        <w:t>Licencia de plan.</w:t>
      </w:r>
    </w:p>
    <w:p>
      <w:pPr>
        <w:numPr>
          <w:ilvl w:val="0"/>
          <w:numId w:val="10"/>
        </w:numPr>
      </w:pPr>
      <w:r>
        <w:rPr>
          <w:rFonts w:ascii="Calibri" w:hAnsi="Calibri"/>
          <w:b w:val="0"/>
          <w:color w:val="17202A"/>
          <w:sz w:val="22"/>
        </w:rPr>
        <w:t>Productos de uso medido.</w:t>
      </w:r>
    </w:p>
    <w:p>
      <w:pPr>
        <w:numPr>
          <w:ilvl w:val="0"/>
          <w:numId w:val="10"/>
        </w:numPr>
      </w:pPr>
      <w:r>
        <w:rPr>
          <w:rFonts w:ascii="Calibri" w:hAnsi="Calibri"/>
          <w:b w:val="0"/>
          <w:color w:val="17202A"/>
          <w:sz w:val="22"/>
        </w:rPr>
        <w:t>Load Balancing.</w:t>
      </w:r>
    </w:p>
    <w:p>
      <w:pPr>
        <w:numPr>
          <w:ilvl w:val="0"/>
          <w:numId w:val="10"/>
        </w:numPr>
      </w:pPr>
      <w:r>
        <w:rPr>
          <w:rFonts w:ascii="Calibri" w:hAnsi="Calibri"/>
          <w:b w:val="0"/>
          <w:color w:val="17202A"/>
          <w:sz w:val="22"/>
        </w:rPr>
        <w:t>Workers.</w:t>
      </w:r>
    </w:p>
    <w:p>
      <w:pPr>
        <w:numPr>
          <w:ilvl w:val="0"/>
          <w:numId w:val="10"/>
        </w:numPr>
      </w:pPr>
      <w:r>
        <w:rPr>
          <w:rFonts w:ascii="Calibri" w:hAnsi="Calibri"/>
          <w:b w:val="0"/>
          <w:color w:val="17202A"/>
          <w:sz w:val="22"/>
        </w:rPr>
        <w:t>Argo Smart Routing o Smart Shield contratado.</w:t>
      </w:r>
    </w:p>
    <w:p>
      <w:pPr>
        <w:numPr>
          <w:ilvl w:val="0"/>
          <w:numId w:val="10"/>
        </w:numPr>
      </w:pPr>
      <w:r>
        <w:rPr>
          <w:rFonts w:ascii="Calibri" w:hAnsi="Calibri"/>
          <w:b w:val="0"/>
          <w:color w:val="17202A"/>
          <w:sz w:val="22"/>
        </w:rPr>
        <w:t>Cache Reserve.</w:t>
      </w:r>
    </w:p>
    <w:p>
      <w:pPr>
        <w:numPr>
          <w:ilvl w:val="0"/>
          <w:numId w:val="10"/>
        </w:numPr>
      </w:pPr>
      <w:r>
        <w:rPr>
          <w:rFonts w:ascii="Calibri" w:hAnsi="Calibri"/>
          <w:b w:val="0"/>
          <w:color w:val="17202A"/>
          <w:sz w:val="22"/>
        </w:rPr>
        <w:t>Certificados avanzados.</w:t>
      </w:r>
    </w:p>
    <w:p>
      <w:pPr>
        <w:numPr>
          <w:ilvl w:val="0"/>
          <w:numId w:val="10"/>
        </w:numPr>
      </w:pPr>
      <w:r>
        <w:rPr>
          <w:rFonts w:ascii="Calibri" w:hAnsi="Calibri"/>
          <w:b w:val="0"/>
          <w:color w:val="17202A"/>
          <w:sz w:val="22"/>
        </w:rPr>
        <w:t>Servicios profesionales y soporte.</w:t>
      </w:r>
    </w:p>
    <w:p>
      <w:pPr>
        <w:pStyle w:val="Heading1"/>
      </w:pPr>
      <w:r>
        <w:rPr>
          <w:rFonts w:ascii="Calibri" w:hAnsi="Calibri"/>
          <w:b/>
          <w:color w:val="2E74B5"/>
          <w:sz w:val="32"/>
        </w:rPr>
        <w:t>Módulo 8. Migración desde Azure Front Door</w:t>
      </w:r>
    </w:p>
    <w:p>
      <w:pPr>
        <w:pStyle w:val="Heading2"/>
      </w:pPr>
      <w:r>
        <w:rPr>
          <w:rFonts w:ascii="Calibri" w:hAnsi="Calibri"/>
          <w:b/>
          <w:color w:val="2E74B5"/>
          <w:sz w:val="26"/>
        </w:rPr>
        <w:t>Objetivos</w:t>
      </w:r>
    </w:p>
    <w:p>
      <w:pPr>
        <w:numPr>
          <w:ilvl w:val="0"/>
          <w:numId w:val="10"/>
        </w:numPr>
      </w:pPr>
      <w:r>
        <w:rPr>
          <w:rFonts w:ascii="Calibri" w:hAnsi="Calibri"/>
          <w:b w:val="0"/>
          <w:color w:val="17202A"/>
          <w:sz w:val="22"/>
        </w:rPr>
        <w:t>Construir un inventario de equivalencias.</w:t>
      </w:r>
    </w:p>
    <w:p>
      <w:pPr>
        <w:numPr>
          <w:ilvl w:val="0"/>
          <w:numId w:val="10"/>
        </w:numPr>
      </w:pPr>
      <w:r>
        <w:rPr>
          <w:rFonts w:ascii="Calibri" w:hAnsi="Calibri"/>
          <w:b w:val="0"/>
          <w:color w:val="17202A"/>
          <w:sz w:val="22"/>
        </w:rPr>
        <w:t>Diseñar pruebas, cutover y rollback.</w:t>
      </w:r>
    </w:p>
    <w:p>
      <w:pPr>
        <w:numPr>
          <w:ilvl w:val="0"/>
          <w:numId w:val="10"/>
        </w:numPr>
      </w:pPr>
      <w:r>
        <w:rPr>
          <w:rFonts w:ascii="Calibri" w:hAnsi="Calibri"/>
          <w:b w:val="0"/>
          <w:color w:val="17202A"/>
          <w:sz w:val="22"/>
        </w:rPr>
        <w:t>Evitar cadenas permanentes de CDN.</w:t>
      </w:r>
    </w:p>
    <w:p>
      <w:pPr>
        <w:numPr>
          <w:ilvl w:val="0"/>
          <w:numId w:val="10"/>
        </w:numPr>
      </w:pPr>
      <w:r>
        <w:rPr>
          <w:rFonts w:ascii="Calibri" w:hAnsi="Calibri"/>
          <w:b w:val="0"/>
          <w:color w:val="17202A"/>
          <w:sz w:val="22"/>
        </w:rPr>
        <w:t>Migrar por riesgo, no por entusiasmo.</w:t>
      </w:r>
    </w:p>
    <w:p>
      <w:pPr>
        <w:pStyle w:val="Heading2"/>
      </w:pPr>
      <w:r>
        <w:rPr>
          <w:rFonts w:ascii="Calibri" w:hAnsi="Calibri"/>
          <w:b/>
          <w:color w:val="2E74B5"/>
          <w:sz w:val="26"/>
        </w:rPr>
        <w:t>8.1. Inventario obligatorio de AFD</w:t>
      </w:r>
    </w:p>
    <w:p>
      <w:r>
        <w:rPr>
          <w:rFonts w:ascii="Calibri" w:hAnsi="Calibri"/>
          <w:b w:val="0"/>
          <w:color w:val="17202A"/>
          <w:sz w:val="22"/>
        </w:rPr>
        <w:t>Por cada dominio, ruta y origen registrar:</w:t>
      </w:r>
    </w:p>
    <w:p>
      <w:pPr>
        <w:numPr>
          <w:ilvl w:val="0"/>
          <w:numId w:val="10"/>
        </w:numPr>
      </w:pPr>
      <w:r>
        <w:rPr>
          <w:rFonts w:ascii="Calibri" w:hAnsi="Calibri"/>
          <w:b w:val="0"/>
          <w:color w:val="17202A"/>
          <w:sz w:val="22"/>
        </w:rPr>
        <w:t>Patrón de hostname y ruta.</w:t>
      </w:r>
    </w:p>
    <w:p>
      <w:pPr>
        <w:numPr>
          <w:ilvl w:val="0"/>
          <w:numId w:val="10"/>
        </w:numPr>
      </w:pPr>
      <w:r>
        <w:rPr>
          <w:rFonts w:ascii="Calibri" w:hAnsi="Calibri"/>
          <w:b w:val="0"/>
          <w:color w:val="17202A"/>
          <w:sz w:val="22"/>
        </w:rPr>
        <w:t>Prioridad y orden.</w:t>
      </w:r>
    </w:p>
    <w:p>
      <w:pPr>
        <w:numPr>
          <w:ilvl w:val="0"/>
          <w:numId w:val="10"/>
        </w:numPr>
      </w:pPr>
      <w:r>
        <w:rPr>
          <w:rFonts w:ascii="Calibri" w:hAnsi="Calibri"/>
          <w:b w:val="0"/>
          <w:color w:val="17202A"/>
          <w:sz w:val="22"/>
        </w:rPr>
        <w:t>Acción: redirect, rewrite, route, cache o header.</w:t>
      </w:r>
    </w:p>
    <w:p>
      <w:pPr>
        <w:numPr>
          <w:ilvl w:val="0"/>
          <w:numId w:val="10"/>
        </w:numPr>
      </w:pPr>
      <w:r>
        <w:rPr>
          <w:rFonts w:ascii="Calibri" w:hAnsi="Calibri"/>
          <w:b w:val="0"/>
          <w:color w:val="17202A"/>
          <w:sz w:val="22"/>
        </w:rPr>
        <w:t>Destino y grupo de origen.</w:t>
      </w:r>
    </w:p>
    <w:p>
      <w:pPr>
        <w:numPr>
          <w:ilvl w:val="0"/>
          <w:numId w:val="10"/>
        </w:numPr>
      </w:pPr>
      <w:r>
        <w:rPr>
          <w:rFonts w:ascii="Calibri" w:hAnsi="Calibri"/>
          <w:b w:val="0"/>
          <w:color w:val="17202A"/>
          <w:sz w:val="22"/>
        </w:rPr>
        <w:t>Host header y SNI de origen.</w:t>
      </w:r>
    </w:p>
    <w:p>
      <w:pPr>
        <w:numPr>
          <w:ilvl w:val="0"/>
          <w:numId w:val="10"/>
        </w:numPr>
      </w:pPr>
      <w:r>
        <w:rPr>
          <w:rFonts w:ascii="Calibri" w:hAnsi="Calibri"/>
          <w:b w:val="0"/>
          <w:color w:val="17202A"/>
          <w:sz w:val="22"/>
        </w:rPr>
        <w:t>Health probe.</w:t>
      </w:r>
    </w:p>
    <w:p>
      <w:pPr>
        <w:numPr>
          <w:ilvl w:val="0"/>
          <w:numId w:val="10"/>
        </w:numPr>
      </w:pPr>
      <w:r>
        <w:rPr>
          <w:rFonts w:ascii="Calibri" w:hAnsi="Calibri"/>
          <w:b w:val="0"/>
          <w:color w:val="17202A"/>
          <w:sz w:val="22"/>
        </w:rPr>
        <w:t>Comportamiento de query string.</w:t>
      </w:r>
    </w:p>
    <w:p>
      <w:pPr>
        <w:numPr>
          <w:ilvl w:val="0"/>
          <w:numId w:val="10"/>
        </w:numPr>
      </w:pPr>
      <w:r>
        <w:rPr>
          <w:rFonts w:ascii="Calibri" w:hAnsi="Calibri"/>
          <w:b w:val="0"/>
          <w:color w:val="17202A"/>
          <w:sz w:val="22"/>
        </w:rPr>
        <w:t>TTL de edge y navegador.</w:t>
      </w:r>
    </w:p>
    <w:p>
      <w:pPr>
        <w:numPr>
          <w:ilvl w:val="0"/>
          <w:numId w:val="10"/>
        </w:numPr>
      </w:pPr>
      <w:r>
        <w:rPr>
          <w:rFonts w:ascii="Calibri" w:hAnsi="Calibri"/>
          <w:b w:val="0"/>
          <w:color w:val="17202A"/>
          <w:sz w:val="22"/>
        </w:rPr>
        <w:t>WAF, exclusiones y modo.</w:t>
      </w:r>
    </w:p>
    <w:p>
      <w:pPr>
        <w:numPr>
          <w:ilvl w:val="0"/>
          <w:numId w:val="10"/>
        </w:numPr>
      </w:pPr>
      <w:r>
        <w:rPr>
          <w:rFonts w:ascii="Calibri" w:hAnsi="Calibri"/>
          <w:b w:val="0"/>
          <w:color w:val="17202A"/>
          <w:sz w:val="22"/>
        </w:rPr>
        <w:t>Métricas y logs usados.</w:t>
      </w:r>
    </w:p>
    <w:p>
      <w:pPr>
        <w:numPr>
          <w:ilvl w:val="0"/>
          <w:numId w:val="10"/>
        </w:numPr>
      </w:pPr>
      <w:r>
        <w:rPr>
          <w:rFonts w:ascii="Calibri" w:hAnsi="Calibri"/>
          <w:b w:val="0"/>
          <w:color w:val="17202A"/>
          <w:sz w:val="22"/>
        </w:rPr>
        <w:t>Propietario y prueba de aceptación.</w:t>
      </w:r>
    </w:p>
    <w:p>
      <w:pPr>
        <w:pStyle w:val="Heading2"/>
      </w:pPr>
      <w:r>
        <w:rPr>
          <w:rFonts w:ascii="Calibri" w:hAnsi="Calibri"/>
          <w:b/>
          <w:color w:val="2E74B5"/>
          <w:sz w:val="26"/>
        </w:rPr>
        <w:t>8.2. Tabla de equivalencias</w:t>
      </w:r>
    </w:p>
    <w:tbl>
      <w:tblPr>
        <w:tblStyle w:val="TableGrid"/>
        <w:tblW w:type="dxa" w:w="9360"/>
        <w:jc w:val="left"/>
        <w:tblLayout w:type="fixed"/>
        <w:tblLook w:firstColumn="1" w:firstRow="1" w:lastColumn="0" w:lastRow="0" w:noHBand="0" w:noVBand="1" w:val="04A0"/>
        <w:tblInd w:w="120" w:type="dxa"/>
      </w:tblPr>
      <w:tblGrid>
        <w:gridCol w:w="1900"/>
        <w:gridCol w:w="3730"/>
        <w:gridCol w:w="3730"/>
      </w:tblGrid>
      <w:tr>
        <w:trPr>
          <w:tblHeader w:val="true"/>
        </w:trPr>
        <w:tc>
          <w:tcPr>
            <w:tcW w:type="dxa" w:w="1900"/>
            <w:tcMar>
              <w:top w:w="80" w:type="dxa"/>
              <w:start w:w="120" w:type="dxa"/>
              <w:bottom w:w="80" w:type="dxa"/>
              <w:end w:w="120" w:type="dxa"/>
            </w:tcMar>
            <w:vAlign w:val="center"/>
            <w:shd w:fill="E8EEF5"/>
          </w:tcPr>
          <w:p>
            <w:pPr>
              <w:spacing w:before="0" w:after="0" w:line="276" w:lineRule="auto"/>
            </w:pPr>
            <w:r>
              <w:rPr>
                <w:rFonts w:ascii="Calibri" w:hAnsi="Calibri"/>
                <w:b/>
                <w:color w:val="17202A"/>
                <w:sz w:val="19"/>
              </w:rPr>
              <w:t>Azure Front Door</w:t>
            </w:r>
          </w:p>
        </w:tc>
        <w:tc>
          <w:tcPr>
            <w:tcW w:type="dxa" w:w="3730"/>
            <w:tcMar>
              <w:top w:w="80" w:type="dxa"/>
              <w:start w:w="120" w:type="dxa"/>
              <w:bottom w:w="80" w:type="dxa"/>
              <w:end w:w="120" w:type="dxa"/>
            </w:tcMar>
            <w:vAlign w:val="center"/>
            <w:shd w:fill="E8EEF5"/>
          </w:tcPr>
          <w:p>
            <w:pPr>
              <w:spacing w:before="0" w:after="0" w:line="276" w:lineRule="auto"/>
            </w:pPr>
            <w:r>
              <w:rPr>
                <w:rFonts w:ascii="Calibri" w:hAnsi="Calibri"/>
                <w:b/>
                <w:color w:val="17202A"/>
                <w:sz w:val="19"/>
              </w:rPr>
              <w:t>Cloudflare</w:t>
            </w:r>
          </w:p>
        </w:tc>
        <w:tc>
          <w:tcPr>
            <w:tcW w:type="dxa" w:w="3730"/>
            <w:tcMar>
              <w:top w:w="80" w:type="dxa"/>
              <w:start w:w="120" w:type="dxa"/>
              <w:bottom w:w="80" w:type="dxa"/>
              <w:end w:w="120" w:type="dxa"/>
            </w:tcMar>
            <w:vAlign w:val="center"/>
            <w:shd w:fill="E8EEF5"/>
          </w:tcPr>
          <w:p>
            <w:pPr>
              <w:spacing w:before="0" w:after="0" w:line="276" w:lineRule="auto"/>
            </w:pPr>
            <w:r>
              <w:rPr>
                <w:rFonts w:ascii="Calibri" w:hAnsi="Calibri"/>
                <w:b/>
                <w:color w:val="17202A"/>
                <w:sz w:val="19"/>
              </w:rPr>
              <w:t>Validación necesaria</w:t>
            </w:r>
          </w:p>
        </w:tc>
      </w:tr>
      <w:tr>
        <w:tc>
          <w:tcPr>
            <w:tcW w:type="dxa" w:w="1900"/>
            <w:tcMar>
              <w:top w:w="80" w:type="dxa"/>
              <w:start w:w="120" w:type="dxa"/>
              <w:bottom w:w="80" w:type="dxa"/>
              <w:end w:w="120" w:type="dxa"/>
            </w:tcMar>
            <w:vAlign w:val="center"/>
          </w:tcPr>
          <w:p>
            <w:pPr>
              <w:spacing w:before="0" w:after="0" w:line="276" w:lineRule="auto"/>
            </w:pPr>
            <w:r>
              <w:rPr>
                <w:rFonts w:ascii="Calibri" w:hAnsi="Calibri"/>
                <w:b w:val="0"/>
                <w:color w:val="17202A"/>
                <w:sz w:val="19"/>
              </w:rPr>
              <w:t>Custom domain + managed TLS</w:t>
            </w:r>
          </w:p>
        </w:tc>
        <w:tc>
          <w:tcPr>
            <w:tcW w:type="dxa" w:w="3730"/>
            <w:tcMar>
              <w:top w:w="80" w:type="dxa"/>
              <w:start w:w="120" w:type="dxa"/>
              <w:bottom w:w="80" w:type="dxa"/>
              <w:end w:w="120" w:type="dxa"/>
            </w:tcMar>
            <w:vAlign w:val="center"/>
          </w:tcPr>
          <w:p>
            <w:pPr>
              <w:spacing w:before="0" w:after="0" w:line="276" w:lineRule="auto"/>
            </w:pPr>
            <w:r>
              <w:rPr>
                <w:rFonts w:ascii="Calibri" w:hAnsi="Calibri"/>
                <w:b w:val="0"/>
                <w:color w:val="17202A"/>
                <w:sz w:val="19"/>
              </w:rPr>
              <w:t>Zona/hostname proxificado + certificado edge</w:t>
            </w:r>
          </w:p>
        </w:tc>
        <w:tc>
          <w:tcPr>
            <w:tcW w:type="dxa" w:w="3730"/>
            <w:tcMar>
              <w:top w:w="80" w:type="dxa"/>
              <w:start w:w="120" w:type="dxa"/>
              <w:bottom w:w="80" w:type="dxa"/>
              <w:end w:w="120" w:type="dxa"/>
            </w:tcMar>
            <w:vAlign w:val="center"/>
          </w:tcPr>
          <w:p>
            <w:pPr>
              <w:spacing w:before="0" w:after="0" w:line="276" w:lineRule="auto"/>
            </w:pPr>
            <w:r>
              <w:rPr>
                <w:rFonts w:ascii="Calibri" w:hAnsi="Calibri"/>
                <w:b w:val="0"/>
                <w:color w:val="17202A"/>
                <w:sz w:val="19"/>
              </w:rPr>
              <w:t>CAA, cobertura y emisión</w:t>
            </w:r>
          </w:p>
        </w:tc>
      </w:tr>
      <w:tr>
        <w:tc>
          <w:tcPr>
            <w:tcW w:type="dxa" w:w="1900"/>
            <w:tcMar>
              <w:top w:w="80" w:type="dxa"/>
              <w:start w:w="120" w:type="dxa"/>
              <w:bottom w:w="80" w:type="dxa"/>
              <w:end w:w="120" w:type="dxa"/>
            </w:tcMar>
            <w:vAlign w:val="center"/>
          </w:tcPr>
          <w:p>
            <w:pPr>
              <w:spacing w:before="0" w:after="0" w:line="276" w:lineRule="auto"/>
            </w:pPr>
            <w:r>
              <w:rPr>
                <w:rFonts w:ascii="Calibri" w:hAnsi="Calibri"/>
                <w:b w:val="0"/>
                <w:color w:val="17202A"/>
                <w:sz w:val="19"/>
              </w:rPr>
              <w:t>Route por dominio/ruta</w:t>
            </w:r>
          </w:p>
        </w:tc>
        <w:tc>
          <w:tcPr>
            <w:tcW w:type="dxa" w:w="3730"/>
            <w:tcMar>
              <w:top w:w="80" w:type="dxa"/>
              <w:start w:w="120" w:type="dxa"/>
              <w:bottom w:w="80" w:type="dxa"/>
              <w:end w:w="120" w:type="dxa"/>
            </w:tcMar>
            <w:vAlign w:val="center"/>
          </w:tcPr>
          <w:p>
            <w:pPr>
              <w:spacing w:before="0" w:after="0" w:line="276" w:lineRule="auto"/>
            </w:pPr>
            <w:r>
              <w:rPr>
                <w:rFonts w:ascii="Calibri" w:hAnsi="Calibri"/>
                <w:b w:val="0"/>
                <w:color w:val="17202A"/>
                <w:sz w:val="19"/>
              </w:rPr>
              <w:t>DNS + reglas/origen/Worker/LB según caso</w:t>
            </w:r>
          </w:p>
        </w:tc>
        <w:tc>
          <w:tcPr>
            <w:tcW w:type="dxa" w:w="3730"/>
            <w:tcMar>
              <w:top w:w="80" w:type="dxa"/>
              <w:start w:w="120" w:type="dxa"/>
              <w:bottom w:w="80" w:type="dxa"/>
              <w:end w:w="120" w:type="dxa"/>
            </w:tcMar>
            <w:vAlign w:val="center"/>
          </w:tcPr>
          <w:p>
            <w:pPr>
              <w:spacing w:before="0" w:after="0" w:line="276" w:lineRule="auto"/>
            </w:pPr>
            <w:r>
              <w:rPr>
                <w:rFonts w:ascii="Calibri" w:hAnsi="Calibri"/>
                <w:b w:val="0"/>
                <w:color w:val="17202A"/>
                <w:sz w:val="19"/>
              </w:rPr>
              <w:t>Host/SNI y prioridad</w:t>
            </w:r>
          </w:p>
        </w:tc>
      </w:tr>
      <w:tr>
        <w:tc>
          <w:tcPr>
            <w:tcW w:type="dxa" w:w="1900"/>
            <w:tcMar>
              <w:top w:w="80" w:type="dxa"/>
              <w:start w:w="120" w:type="dxa"/>
              <w:bottom w:w="80" w:type="dxa"/>
              <w:end w:w="120" w:type="dxa"/>
            </w:tcMar>
            <w:vAlign w:val="center"/>
          </w:tcPr>
          <w:p>
            <w:pPr>
              <w:spacing w:before="0" w:after="0" w:line="276" w:lineRule="auto"/>
            </w:pPr>
            <w:r>
              <w:rPr>
                <w:rFonts w:ascii="Calibri" w:hAnsi="Calibri"/>
                <w:b w:val="0"/>
                <w:color w:val="17202A"/>
                <w:sz w:val="19"/>
              </w:rPr>
              <w:t>Rules Engine redirect</w:t>
            </w:r>
          </w:p>
        </w:tc>
        <w:tc>
          <w:tcPr>
            <w:tcW w:type="dxa" w:w="3730"/>
            <w:tcMar>
              <w:top w:w="80" w:type="dxa"/>
              <w:start w:w="120" w:type="dxa"/>
              <w:bottom w:w="80" w:type="dxa"/>
              <w:end w:w="120" w:type="dxa"/>
            </w:tcMar>
            <w:vAlign w:val="center"/>
          </w:tcPr>
          <w:p>
            <w:pPr>
              <w:spacing w:before="0" w:after="0" w:line="276" w:lineRule="auto"/>
            </w:pPr>
            <w:r>
              <w:rPr>
                <w:rFonts w:ascii="Calibri" w:hAnsi="Calibri"/>
                <w:b w:val="0"/>
                <w:color w:val="17202A"/>
                <w:sz w:val="19"/>
              </w:rPr>
              <w:t>Redirect Rules</w:t>
            </w:r>
          </w:p>
        </w:tc>
        <w:tc>
          <w:tcPr>
            <w:tcW w:type="dxa" w:w="3730"/>
            <w:tcMar>
              <w:top w:w="80" w:type="dxa"/>
              <w:start w:w="120" w:type="dxa"/>
              <w:bottom w:w="80" w:type="dxa"/>
              <w:end w:w="120" w:type="dxa"/>
            </w:tcMar>
            <w:vAlign w:val="center"/>
          </w:tcPr>
          <w:p>
            <w:pPr>
              <w:spacing w:before="0" w:after="0" w:line="276" w:lineRule="auto"/>
            </w:pPr>
            <w:r>
              <w:rPr>
                <w:rFonts w:ascii="Calibri" w:hAnsi="Calibri"/>
                <w:b w:val="0"/>
                <w:color w:val="17202A"/>
                <w:sz w:val="19"/>
              </w:rPr>
              <w:t>Código, query y anti-bucle</w:t>
            </w:r>
          </w:p>
        </w:tc>
      </w:tr>
      <w:tr>
        <w:tc>
          <w:tcPr>
            <w:tcW w:type="dxa" w:w="1900"/>
            <w:tcMar>
              <w:top w:w="80" w:type="dxa"/>
              <w:start w:w="120" w:type="dxa"/>
              <w:bottom w:w="80" w:type="dxa"/>
              <w:end w:w="120" w:type="dxa"/>
            </w:tcMar>
            <w:vAlign w:val="center"/>
          </w:tcPr>
          <w:p>
            <w:pPr>
              <w:spacing w:before="0" w:after="0" w:line="276" w:lineRule="auto"/>
            </w:pPr>
            <w:r>
              <w:rPr>
                <w:rFonts w:ascii="Calibri" w:hAnsi="Calibri"/>
                <w:b w:val="0"/>
                <w:color w:val="17202A"/>
                <w:sz w:val="19"/>
              </w:rPr>
              <w:t>URL rewrite</w:t>
            </w:r>
          </w:p>
        </w:tc>
        <w:tc>
          <w:tcPr>
            <w:tcW w:type="dxa" w:w="3730"/>
            <w:tcMar>
              <w:top w:w="80" w:type="dxa"/>
              <w:start w:w="120" w:type="dxa"/>
              <w:bottom w:w="80" w:type="dxa"/>
              <w:end w:w="120" w:type="dxa"/>
            </w:tcMar>
            <w:vAlign w:val="center"/>
          </w:tcPr>
          <w:p>
            <w:pPr>
              <w:spacing w:before="0" w:after="0" w:line="276" w:lineRule="auto"/>
            </w:pPr>
            <w:r>
              <w:rPr>
                <w:rFonts w:ascii="Calibri" w:hAnsi="Calibri"/>
                <w:b w:val="0"/>
                <w:color w:val="17202A"/>
                <w:sz w:val="19"/>
              </w:rPr>
              <w:t>URL Rewrite/Transform Rules</w:t>
            </w:r>
          </w:p>
        </w:tc>
        <w:tc>
          <w:tcPr>
            <w:tcW w:type="dxa" w:w="3730"/>
            <w:tcMar>
              <w:top w:w="80" w:type="dxa"/>
              <w:start w:w="120" w:type="dxa"/>
              <w:bottom w:w="80" w:type="dxa"/>
              <w:end w:w="120" w:type="dxa"/>
            </w:tcMar>
            <w:vAlign w:val="center"/>
          </w:tcPr>
          <w:p>
            <w:pPr>
              <w:spacing w:before="0" w:after="0" w:line="276" w:lineRule="auto"/>
            </w:pPr>
            <w:r>
              <w:rPr>
                <w:rFonts w:ascii="Calibri" w:hAnsi="Calibri"/>
                <w:b w:val="0"/>
                <w:color w:val="17202A"/>
                <w:sz w:val="19"/>
              </w:rPr>
              <w:t>URI final y orden</w:t>
            </w:r>
          </w:p>
        </w:tc>
      </w:tr>
      <w:tr>
        <w:tc>
          <w:tcPr>
            <w:tcW w:type="dxa" w:w="1900"/>
            <w:tcMar>
              <w:top w:w="80" w:type="dxa"/>
              <w:start w:w="120" w:type="dxa"/>
              <w:bottom w:w="80" w:type="dxa"/>
              <w:end w:w="120" w:type="dxa"/>
            </w:tcMar>
            <w:vAlign w:val="center"/>
          </w:tcPr>
          <w:p>
            <w:pPr>
              <w:spacing w:before="0" w:after="0" w:line="276" w:lineRule="auto"/>
            </w:pPr>
            <w:r>
              <w:rPr>
                <w:rFonts w:ascii="Calibri" w:hAnsi="Calibri"/>
                <w:b w:val="0"/>
                <w:color w:val="17202A"/>
                <w:sz w:val="19"/>
              </w:rPr>
              <w:t>Cache behavior</w:t>
            </w:r>
          </w:p>
        </w:tc>
        <w:tc>
          <w:tcPr>
            <w:tcW w:type="dxa" w:w="3730"/>
            <w:tcMar>
              <w:top w:w="80" w:type="dxa"/>
              <w:start w:w="120" w:type="dxa"/>
              <w:bottom w:w="80" w:type="dxa"/>
              <w:end w:w="120" w:type="dxa"/>
            </w:tcMar>
            <w:vAlign w:val="center"/>
          </w:tcPr>
          <w:p>
            <w:pPr>
              <w:spacing w:before="0" w:after="0" w:line="276" w:lineRule="auto"/>
            </w:pPr>
            <w:r>
              <w:rPr>
                <w:rFonts w:ascii="Calibri" w:hAnsi="Calibri"/>
                <w:b w:val="0"/>
                <w:color w:val="17202A"/>
                <w:sz w:val="19"/>
              </w:rPr>
              <w:t>Cache Rules</w:t>
            </w:r>
          </w:p>
        </w:tc>
        <w:tc>
          <w:tcPr>
            <w:tcW w:type="dxa" w:w="3730"/>
            <w:tcMar>
              <w:top w:w="80" w:type="dxa"/>
              <w:start w:w="120" w:type="dxa"/>
              <w:bottom w:w="80" w:type="dxa"/>
              <w:end w:w="120" w:type="dxa"/>
            </w:tcMar>
            <w:vAlign w:val="center"/>
          </w:tcPr>
          <w:p>
            <w:pPr>
              <w:spacing w:before="0" w:after="0" w:line="276" w:lineRule="auto"/>
            </w:pPr>
            <w:r>
              <w:rPr>
                <w:rFonts w:ascii="Calibri" w:hAnsi="Calibri"/>
                <w:b w:val="0"/>
                <w:color w:val="17202A"/>
                <w:sz w:val="19"/>
              </w:rPr>
              <w:t>Headers, cookies, query y TTL</w:t>
            </w:r>
          </w:p>
        </w:tc>
      </w:tr>
      <w:tr>
        <w:tc>
          <w:tcPr>
            <w:tcW w:type="dxa" w:w="1900"/>
            <w:tcMar>
              <w:top w:w="80" w:type="dxa"/>
              <w:start w:w="120" w:type="dxa"/>
              <w:bottom w:w="80" w:type="dxa"/>
              <w:end w:w="120" w:type="dxa"/>
            </w:tcMar>
            <w:vAlign w:val="center"/>
          </w:tcPr>
          <w:p>
            <w:pPr>
              <w:spacing w:before="0" w:after="0" w:line="276" w:lineRule="auto"/>
            </w:pPr>
            <w:r>
              <w:rPr>
                <w:rFonts w:ascii="Calibri" w:hAnsi="Calibri"/>
                <w:b w:val="0"/>
                <w:color w:val="17202A"/>
                <w:sz w:val="19"/>
              </w:rPr>
              <w:t>Origin group + probe</w:t>
            </w:r>
          </w:p>
        </w:tc>
        <w:tc>
          <w:tcPr>
            <w:tcW w:type="dxa" w:w="3730"/>
            <w:tcMar>
              <w:top w:w="80" w:type="dxa"/>
              <w:start w:w="120" w:type="dxa"/>
              <w:bottom w:w="80" w:type="dxa"/>
              <w:end w:w="120" w:type="dxa"/>
            </w:tcMar>
            <w:vAlign w:val="center"/>
          </w:tcPr>
          <w:p>
            <w:pPr>
              <w:spacing w:before="0" w:after="0" w:line="276" w:lineRule="auto"/>
            </w:pPr>
            <w:r>
              <w:rPr>
                <w:rFonts w:ascii="Calibri" w:hAnsi="Calibri"/>
                <w:b w:val="0"/>
                <w:color w:val="17202A"/>
                <w:sz w:val="19"/>
              </w:rPr>
              <w:t>Cloudflare Load Balancing o endpoint único</w:t>
            </w:r>
          </w:p>
        </w:tc>
        <w:tc>
          <w:tcPr>
            <w:tcW w:type="dxa" w:w="3730"/>
            <w:tcMar>
              <w:top w:w="80" w:type="dxa"/>
              <w:start w:w="120" w:type="dxa"/>
              <w:bottom w:w="80" w:type="dxa"/>
              <w:end w:w="120" w:type="dxa"/>
            </w:tcMar>
            <w:vAlign w:val="center"/>
          </w:tcPr>
          <w:p>
            <w:pPr>
              <w:spacing w:before="0" w:after="0" w:line="276" w:lineRule="auto"/>
            </w:pPr>
            <w:r>
              <w:rPr>
                <w:rFonts w:ascii="Calibri" w:hAnsi="Calibri"/>
                <w:b w:val="0"/>
                <w:color w:val="17202A"/>
                <w:sz w:val="19"/>
              </w:rPr>
              <w:t>Necesidad real y coste</w:t>
            </w:r>
          </w:p>
        </w:tc>
      </w:tr>
      <w:tr>
        <w:tc>
          <w:tcPr>
            <w:tcW w:type="dxa" w:w="1900"/>
            <w:tcMar>
              <w:top w:w="80" w:type="dxa"/>
              <w:start w:w="120" w:type="dxa"/>
              <w:bottom w:w="80" w:type="dxa"/>
              <w:end w:w="120" w:type="dxa"/>
            </w:tcMar>
            <w:vAlign w:val="center"/>
          </w:tcPr>
          <w:p>
            <w:pPr>
              <w:spacing w:before="0" w:after="0" w:line="276" w:lineRule="auto"/>
            </w:pPr>
            <w:r>
              <w:rPr>
                <w:rFonts w:ascii="Calibri" w:hAnsi="Calibri"/>
                <w:b w:val="0"/>
                <w:color w:val="17202A"/>
                <w:sz w:val="19"/>
              </w:rPr>
              <w:t>AFD WAF</w:t>
            </w:r>
          </w:p>
        </w:tc>
        <w:tc>
          <w:tcPr>
            <w:tcW w:type="dxa" w:w="3730"/>
            <w:tcMar>
              <w:top w:w="80" w:type="dxa"/>
              <w:start w:w="120" w:type="dxa"/>
              <w:bottom w:w="80" w:type="dxa"/>
              <w:end w:w="120" w:type="dxa"/>
            </w:tcMar>
            <w:vAlign w:val="center"/>
          </w:tcPr>
          <w:p>
            <w:pPr>
              <w:spacing w:before="0" w:after="0" w:line="276" w:lineRule="auto"/>
            </w:pPr>
            <w:r>
              <w:rPr>
                <w:rFonts w:ascii="Calibri" w:hAnsi="Calibri"/>
                <w:b w:val="0"/>
                <w:color w:val="17202A"/>
                <w:sz w:val="19"/>
              </w:rPr>
              <w:t>Cloudflare WAF</w:t>
            </w:r>
          </w:p>
        </w:tc>
        <w:tc>
          <w:tcPr>
            <w:tcW w:type="dxa" w:w="3730"/>
            <w:tcMar>
              <w:top w:w="80" w:type="dxa"/>
              <w:start w:w="120" w:type="dxa"/>
              <w:bottom w:w="80" w:type="dxa"/>
              <w:end w:w="120" w:type="dxa"/>
            </w:tcMar>
            <w:vAlign w:val="center"/>
          </w:tcPr>
          <w:p>
            <w:pPr>
              <w:spacing w:before="0" w:after="0" w:line="276" w:lineRule="auto"/>
            </w:pPr>
            <w:r>
              <w:rPr>
                <w:rFonts w:ascii="Calibri" w:hAnsi="Calibri"/>
                <w:b w:val="0"/>
                <w:color w:val="17202A"/>
                <w:sz w:val="19"/>
              </w:rPr>
              <w:t>Falsos positivos y excepciones</w:t>
            </w:r>
          </w:p>
        </w:tc>
      </w:tr>
      <w:tr>
        <w:tc>
          <w:tcPr>
            <w:tcW w:type="dxa" w:w="1900"/>
            <w:tcMar>
              <w:top w:w="80" w:type="dxa"/>
              <w:start w:w="120" w:type="dxa"/>
              <w:bottom w:w="80" w:type="dxa"/>
              <w:end w:w="120" w:type="dxa"/>
            </w:tcMar>
            <w:vAlign w:val="center"/>
          </w:tcPr>
          <w:p>
            <w:pPr>
              <w:spacing w:before="0" w:after="0" w:line="276" w:lineRule="auto"/>
            </w:pPr>
            <w:r>
              <w:rPr>
                <w:rFonts w:ascii="Calibri" w:hAnsi="Calibri"/>
                <w:b w:val="0"/>
                <w:color w:val="17202A"/>
                <w:sz w:val="19"/>
              </w:rPr>
              <w:t>Azure Monitor logs</w:t>
            </w:r>
          </w:p>
        </w:tc>
        <w:tc>
          <w:tcPr>
            <w:tcW w:type="dxa" w:w="3730"/>
            <w:tcMar>
              <w:top w:w="80" w:type="dxa"/>
              <w:start w:w="120" w:type="dxa"/>
              <w:bottom w:w="80" w:type="dxa"/>
              <w:end w:w="120" w:type="dxa"/>
            </w:tcMar>
            <w:vAlign w:val="center"/>
          </w:tcPr>
          <w:p>
            <w:pPr>
              <w:spacing w:before="0" w:after="0" w:line="276" w:lineRule="auto"/>
            </w:pPr>
            <w:r>
              <w:rPr>
                <w:rFonts w:ascii="Calibri" w:hAnsi="Calibri"/>
                <w:b w:val="0"/>
                <w:color w:val="17202A"/>
                <w:sz w:val="19"/>
              </w:rPr>
              <w:t>Analytics; Logpush solo Enterprise</w:t>
            </w:r>
          </w:p>
        </w:tc>
        <w:tc>
          <w:tcPr>
            <w:tcW w:type="dxa" w:w="3730"/>
            <w:tcMar>
              <w:top w:w="80" w:type="dxa"/>
              <w:start w:w="120" w:type="dxa"/>
              <w:bottom w:w="80" w:type="dxa"/>
              <w:end w:w="120" w:type="dxa"/>
            </w:tcMar>
            <w:vAlign w:val="center"/>
          </w:tcPr>
          <w:p>
            <w:pPr>
              <w:spacing w:before="0" w:after="0" w:line="276" w:lineRule="auto"/>
            </w:pPr>
            <w:r>
              <w:rPr>
                <w:rFonts w:ascii="Calibri" w:hAnsi="Calibri"/>
                <w:b w:val="0"/>
                <w:color w:val="17202A"/>
                <w:sz w:val="19"/>
              </w:rPr>
              <w:t>Requisitos de diagnóstico</w:t>
            </w:r>
          </w:p>
        </w:tc>
      </w:tr>
      <w:tr>
        <w:tc>
          <w:tcPr>
            <w:tcW w:type="dxa" w:w="1900"/>
            <w:tcMar>
              <w:top w:w="80" w:type="dxa"/>
              <w:start w:w="120" w:type="dxa"/>
              <w:bottom w:w="80" w:type="dxa"/>
              <w:end w:w="120" w:type="dxa"/>
            </w:tcMar>
            <w:vAlign w:val="center"/>
          </w:tcPr>
          <w:p>
            <w:pPr>
              <w:spacing w:before="0" w:after="0" w:line="276" w:lineRule="auto"/>
            </w:pPr>
            <w:r>
              <w:rPr>
                <w:rFonts w:ascii="Calibri" w:hAnsi="Calibri"/>
                <w:b w:val="0"/>
                <w:color w:val="17202A"/>
                <w:sz w:val="19"/>
              </w:rPr>
              <w:t>Client IP headers</w:t>
            </w:r>
          </w:p>
        </w:tc>
        <w:tc>
          <w:tcPr>
            <w:tcW w:type="dxa" w:w="3730"/>
            <w:tcMar>
              <w:top w:w="80" w:type="dxa"/>
              <w:start w:w="120" w:type="dxa"/>
              <w:bottom w:w="80" w:type="dxa"/>
              <w:end w:w="120" w:type="dxa"/>
            </w:tcMar>
            <w:vAlign w:val="center"/>
          </w:tcPr>
          <w:p>
            <w:pPr>
              <w:spacing w:before="0" w:after="0" w:line="276" w:lineRule="auto"/>
            </w:pPr>
            <w:r>
              <w:rPr>
                <w:rFonts w:ascii="Calibri" w:hAnsi="Calibri"/>
                <w:b w:val="0"/>
                <w:color w:val="17202A"/>
                <w:sz w:val="19"/>
              </w:rPr>
              <w:t>CF-Connecting-IP/X-Forwarded-For</w:t>
            </w:r>
          </w:p>
        </w:tc>
        <w:tc>
          <w:tcPr>
            <w:tcW w:type="dxa" w:w="3730"/>
            <w:tcMar>
              <w:top w:w="80" w:type="dxa"/>
              <w:start w:w="120" w:type="dxa"/>
              <w:bottom w:w="80" w:type="dxa"/>
              <w:end w:w="120" w:type="dxa"/>
            </w:tcMar>
            <w:vAlign w:val="center"/>
          </w:tcPr>
          <w:p>
            <w:pPr>
              <w:spacing w:before="0" w:after="0" w:line="276" w:lineRule="auto"/>
            </w:pPr>
            <w:r>
              <w:rPr>
                <w:rFonts w:ascii="Calibri" w:hAnsi="Calibri"/>
                <w:b w:val="0"/>
                <w:color w:val="17202A"/>
                <w:sz w:val="19"/>
              </w:rPr>
              <w:t>Trusted proxies</w:t>
            </w:r>
          </w:p>
        </w:tc>
      </w:tr>
    </w:tbl>
    <w:p>
      <w:pPr>
        <w:spacing w:before="0" w:after="40"/>
      </w:pPr>
    </w:p>
    <w:p>
      <w:pPr>
        <w:pStyle w:val="Heading2"/>
      </w:pPr>
      <w:r>
        <w:rPr>
          <w:rFonts w:ascii="Calibri" w:hAnsi="Calibri"/>
          <w:b/>
          <w:color w:val="2E74B5"/>
          <w:sz w:val="26"/>
        </w:rPr>
        <w:t>8.3. Estrategia por fases</w:t>
      </w:r>
    </w:p>
    <w:p>
      <w:pPr>
        <w:pStyle w:val="Heading3"/>
      </w:pPr>
      <w:r>
        <w:rPr>
          <w:rFonts w:ascii="Calibri" w:hAnsi="Calibri"/>
          <w:b/>
          <w:color w:val="1F4D78"/>
          <w:sz w:val="24"/>
        </w:rPr>
        <w:t>Fase 0. Línea base</w:t>
      </w:r>
    </w:p>
    <w:p>
      <w:r>
        <w:rPr>
          <w:rFonts w:ascii="Calibri" w:hAnsi="Calibri"/>
          <w:b w:val="0"/>
          <w:color w:val="17202A"/>
          <w:sz w:val="22"/>
        </w:rPr>
        <w:t>Recoger antes del cambio:</w:t>
      </w:r>
    </w:p>
    <w:p>
      <w:pPr>
        <w:numPr>
          <w:ilvl w:val="0"/>
          <w:numId w:val="10"/>
        </w:numPr>
      </w:pPr>
      <w:r>
        <w:rPr>
          <w:rFonts w:ascii="Calibri" w:hAnsi="Calibri"/>
          <w:b w:val="0"/>
          <w:color w:val="17202A"/>
          <w:sz w:val="22"/>
        </w:rPr>
        <w:t>Volumen de peticiones.</w:t>
      </w:r>
    </w:p>
    <w:p>
      <w:pPr>
        <w:numPr>
          <w:ilvl w:val="0"/>
          <w:numId w:val="10"/>
        </w:numPr>
      </w:pPr>
      <w:r>
        <w:rPr>
          <w:rFonts w:ascii="Calibri" w:hAnsi="Calibri"/>
          <w:b w:val="0"/>
          <w:color w:val="17202A"/>
          <w:sz w:val="22"/>
        </w:rPr>
        <w:t>Cache hit ratio.</w:t>
      </w:r>
    </w:p>
    <w:p>
      <w:pPr>
        <w:numPr>
          <w:ilvl w:val="0"/>
          <w:numId w:val="10"/>
        </w:numPr>
      </w:pPr>
      <w:r>
        <w:rPr>
          <w:rFonts w:ascii="Calibri" w:hAnsi="Calibri"/>
          <w:b w:val="0"/>
          <w:color w:val="17202A"/>
          <w:sz w:val="22"/>
        </w:rPr>
        <w:t>Peticiones al origen.</w:t>
      </w:r>
    </w:p>
    <w:p>
      <w:pPr>
        <w:numPr>
          <w:ilvl w:val="0"/>
          <w:numId w:val="10"/>
        </w:numPr>
      </w:pPr>
      <w:r>
        <w:rPr>
          <w:rFonts w:ascii="Calibri" w:hAnsi="Calibri"/>
          <w:b w:val="0"/>
          <w:color w:val="17202A"/>
          <w:sz w:val="22"/>
        </w:rPr>
        <w:t>TTFB p50/p95/p99.</w:t>
      </w:r>
    </w:p>
    <w:p>
      <w:pPr>
        <w:numPr>
          <w:ilvl w:val="0"/>
          <w:numId w:val="10"/>
        </w:numPr>
      </w:pPr>
      <w:r>
        <w:rPr>
          <w:rFonts w:ascii="Calibri" w:hAnsi="Calibri"/>
          <w:b w:val="0"/>
          <w:color w:val="17202A"/>
          <w:sz w:val="22"/>
        </w:rPr>
        <w:t>Códigos 4xx/5xx.</w:t>
      </w:r>
    </w:p>
    <w:p>
      <w:pPr>
        <w:numPr>
          <w:ilvl w:val="0"/>
          <w:numId w:val="10"/>
        </w:numPr>
      </w:pPr>
      <w:r>
        <w:rPr>
          <w:rFonts w:ascii="Calibri" w:hAnsi="Calibri"/>
          <w:b w:val="0"/>
          <w:color w:val="17202A"/>
          <w:sz w:val="22"/>
        </w:rPr>
        <w:t>Latencia de SAP.</w:t>
      </w:r>
    </w:p>
    <w:p>
      <w:pPr>
        <w:numPr>
          <w:ilvl w:val="0"/>
          <w:numId w:val="10"/>
        </w:numPr>
      </w:pPr>
      <w:r>
        <w:rPr>
          <w:rFonts w:ascii="Calibri" w:hAnsi="Calibri"/>
          <w:b w:val="0"/>
          <w:color w:val="17202A"/>
          <w:sz w:val="22"/>
        </w:rPr>
        <w:t>Core Web Vitals.</w:t>
      </w:r>
    </w:p>
    <w:p>
      <w:pPr>
        <w:numPr>
          <w:ilvl w:val="0"/>
          <w:numId w:val="10"/>
        </w:numPr>
      </w:pPr>
      <w:r>
        <w:rPr>
          <w:rFonts w:ascii="Calibri" w:hAnsi="Calibri"/>
          <w:b w:val="0"/>
          <w:color w:val="17202A"/>
          <w:sz w:val="22"/>
        </w:rPr>
        <w:t>Rastreo SEO.</w:t>
      </w:r>
    </w:p>
    <w:p>
      <w:pPr>
        <w:pStyle w:val="Heading3"/>
      </w:pPr>
      <w:r>
        <w:rPr>
          <w:rFonts w:ascii="Calibri" w:hAnsi="Calibri"/>
          <w:b/>
          <w:color w:val="1F4D78"/>
          <w:sz w:val="24"/>
        </w:rPr>
        <w:t>Fase 1. Construcción sin impacto</w:t>
      </w:r>
    </w:p>
    <w:p>
      <w:pPr>
        <w:numPr>
          <w:ilvl w:val="0"/>
          <w:numId w:val="10"/>
        </w:numPr>
      </w:pPr>
      <w:r>
        <w:rPr>
          <w:rFonts w:ascii="Calibri" w:hAnsi="Calibri"/>
          <w:b w:val="0"/>
          <w:color w:val="17202A"/>
          <w:sz w:val="22"/>
        </w:rPr>
        <w:t>Crear cuenta, miembros, 2FA/SSO y API tokens.</w:t>
      </w:r>
    </w:p>
    <w:p>
      <w:pPr>
        <w:numPr>
          <w:ilvl w:val="0"/>
          <w:numId w:val="10"/>
        </w:numPr>
      </w:pPr>
      <w:r>
        <w:rPr>
          <w:rFonts w:ascii="Calibri" w:hAnsi="Calibri"/>
          <w:b w:val="0"/>
          <w:color w:val="17202A"/>
          <w:sz w:val="22"/>
        </w:rPr>
        <w:t>Configurar zona parcial o completa.</w:t>
      </w:r>
    </w:p>
    <w:p>
      <w:pPr>
        <w:numPr>
          <w:ilvl w:val="0"/>
          <w:numId w:val="10"/>
        </w:numPr>
      </w:pPr>
      <w:r>
        <w:rPr>
          <w:rFonts w:ascii="Calibri" w:hAnsi="Calibri"/>
          <w:b w:val="0"/>
          <w:color w:val="17202A"/>
          <w:sz w:val="22"/>
        </w:rPr>
        <w:t>Emitir certificados.</w:t>
      </w:r>
    </w:p>
    <w:p>
      <w:pPr>
        <w:numPr>
          <w:ilvl w:val="0"/>
          <w:numId w:val="10"/>
        </w:numPr>
      </w:pPr>
      <w:r>
        <w:rPr>
          <w:rFonts w:ascii="Calibri" w:hAnsi="Calibri"/>
          <w:b w:val="0"/>
          <w:color w:val="17202A"/>
          <w:sz w:val="22"/>
        </w:rPr>
        <w:t>Crear reglas como borrador.</w:t>
      </w:r>
    </w:p>
    <w:p>
      <w:pPr>
        <w:numPr>
          <w:ilvl w:val="0"/>
          <w:numId w:val="10"/>
        </w:numPr>
      </w:pPr>
      <w:r>
        <w:rPr>
          <w:rFonts w:ascii="Calibri" w:hAnsi="Calibri"/>
          <w:b w:val="0"/>
          <w:color w:val="17202A"/>
          <w:sz w:val="22"/>
        </w:rPr>
        <w:t>Definir orígenes y cabeceras.</w:t>
      </w:r>
    </w:p>
    <w:p>
      <w:pPr>
        <w:numPr>
          <w:ilvl w:val="0"/>
          <w:numId w:val="10"/>
        </w:numPr>
      </w:pPr>
      <w:r>
        <w:rPr>
          <w:rFonts w:ascii="Calibri" w:hAnsi="Calibri"/>
          <w:b w:val="0"/>
          <w:color w:val="17202A"/>
          <w:sz w:val="22"/>
        </w:rPr>
        <w:t>Preparar hostname de prueba.</w:t>
      </w:r>
    </w:p>
    <w:p>
      <w:pPr>
        <w:pStyle w:val="Heading3"/>
      </w:pPr>
      <w:r>
        <w:rPr>
          <w:rFonts w:ascii="Calibri" w:hAnsi="Calibri"/>
          <w:b/>
          <w:color w:val="1F4D78"/>
          <w:sz w:val="24"/>
        </w:rPr>
        <w:t>Fase 2. Funcionalidad sin caché dinámica</w:t>
      </w:r>
    </w:p>
    <w:p>
      <w:pPr>
        <w:numPr>
          <w:ilvl w:val="0"/>
          <w:numId w:val="10"/>
        </w:numPr>
      </w:pPr>
      <w:r>
        <w:rPr>
          <w:rFonts w:ascii="Calibri" w:hAnsi="Calibri"/>
          <w:b w:val="0"/>
          <w:color w:val="17202A"/>
          <w:sz w:val="22"/>
        </w:rPr>
        <w:t>Proxificar en entorno de prueba.</w:t>
      </w:r>
    </w:p>
    <w:p>
      <w:pPr>
        <w:numPr>
          <w:ilvl w:val="0"/>
          <w:numId w:val="10"/>
        </w:numPr>
      </w:pPr>
      <w:r>
        <w:rPr>
          <w:rFonts w:ascii="Calibri" w:hAnsi="Calibri"/>
          <w:b w:val="0"/>
          <w:color w:val="17202A"/>
          <w:sz w:val="22"/>
        </w:rPr>
        <w:t>Cachear solo estáticos seguros.</w:t>
      </w:r>
    </w:p>
    <w:p>
      <w:pPr>
        <w:numPr>
          <w:ilvl w:val="0"/>
          <w:numId w:val="10"/>
        </w:numPr>
      </w:pPr>
      <w:r>
        <w:rPr>
          <w:rFonts w:ascii="Calibri" w:hAnsi="Calibri"/>
          <w:b w:val="0"/>
          <w:color w:val="17202A"/>
          <w:sz w:val="22"/>
        </w:rPr>
        <w:t>Mantener WAF en configuración conservadora.</w:t>
      </w:r>
    </w:p>
    <w:p>
      <w:pPr>
        <w:numPr>
          <w:ilvl w:val="0"/>
          <w:numId w:val="10"/>
        </w:numPr>
      </w:pPr>
      <w:r>
        <w:rPr>
          <w:rFonts w:ascii="Calibri" w:hAnsi="Calibri"/>
          <w:b w:val="0"/>
          <w:color w:val="17202A"/>
          <w:sz w:val="22"/>
        </w:rPr>
        <w:t>Ejecutar journeys completos.</w:t>
      </w:r>
    </w:p>
    <w:p>
      <w:pPr>
        <w:pStyle w:val="Heading3"/>
      </w:pPr>
      <w:r>
        <w:rPr>
          <w:rFonts w:ascii="Calibri" w:hAnsi="Calibri"/>
          <w:b/>
          <w:color w:val="1F4D78"/>
          <w:sz w:val="24"/>
        </w:rPr>
        <w:t>Fase 3. Producción controlada</w:t>
      </w:r>
    </w:p>
    <w:p>
      <w:pPr>
        <w:numPr>
          <w:ilvl w:val="0"/>
          <w:numId w:val="10"/>
        </w:numPr>
      </w:pPr>
      <w:r>
        <w:rPr>
          <w:rFonts w:ascii="Calibri" w:hAnsi="Calibri"/>
          <w:b w:val="0"/>
          <w:color w:val="17202A"/>
          <w:sz w:val="22"/>
        </w:rPr>
        <w:t>Cambiar DNS con AFD disponible.</w:t>
      </w:r>
    </w:p>
    <w:p>
      <w:pPr>
        <w:numPr>
          <w:ilvl w:val="0"/>
          <w:numId w:val="10"/>
        </w:numPr>
      </w:pPr>
      <w:r>
        <w:rPr>
          <w:rFonts w:ascii="Calibri" w:hAnsi="Calibri"/>
          <w:b w:val="0"/>
          <w:color w:val="17202A"/>
          <w:sz w:val="22"/>
        </w:rPr>
        <w:t>Vigilar errores, pagos, login, API, blog y SEO.</w:t>
      </w:r>
    </w:p>
    <w:p>
      <w:pPr>
        <w:numPr>
          <w:ilvl w:val="0"/>
          <w:numId w:val="10"/>
        </w:numPr>
      </w:pPr>
      <w:r>
        <w:rPr>
          <w:rFonts w:ascii="Calibri" w:hAnsi="Calibri"/>
          <w:b w:val="0"/>
          <w:color w:val="17202A"/>
          <w:sz w:val="22"/>
        </w:rPr>
        <w:t>Aplicar criterios de rollback objetivos.</w:t>
      </w:r>
    </w:p>
    <w:p>
      <w:pPr>
        <w:pStyle w:val="Heading3"/>
      </w:pPr>
      <w:r>
        <w:rPr>
          <w:rFonts w:ascii="Calibri" w:hAnsi="Calibri"/>
          <w:b/>
          <w:color w:val="1F4D78"/>
          <w:sz w:val="24"/>
        </w:rPr>
        <w:t>Fase 4. Optimización</w:t>
      </w:r>
    </w:p>
    <w:p>
      <w:pPr>
        <w:numPr>
          <w:ilvl w:val="0"/>
          <w:numId w:val="10"/>
        </w:numPr>
      </w:pPr>
      <w:r>
        <w:rPr>
          <w:rFonts w:ascii="Calibri" w:hAnsi="Calibri"/>
          <w:b w:val="0"/>
          <w:color w:val="17202A"/>
          <w:sz w:val="22"/>
        </w:rPr>
        <w:t>Activar Smart Tiered Cache.</w:t>
      </w:r>
    </w:p>
    <w:p>
      <w:pPr>
        <w:numPr>
          <w:ilvl w:val="0"/>
          <w:numId w:val="10"/>
        </w:numPr>
      </w:pPr>
      <w:r>
        <w:rPr>
          <w:rFonts w:ascii="Calibri" w:hAnsi="Calibri"/>
          <w:b w:val="0"/>
          <w:color w:val="17202A"/>
          <w:sz w:val="22"/>
        </w:rPr>
        <w:t>Añadir reglas de home/producto/categoría tras pruebas.</w:t>
      </w:r>
    </w:p>
    <w:p>
      <w:pPr>
        <w:numPr>
          <w:ilvl w:val="0"/>
          <w:numId w:val="10"/>
        </w:numPr>
      </w:pPr>
      <w:r>
        <w:rPr>
          <w:rFonts w:ascii="Calibri" w:hAnsi="Calibri"/>
          <w:b w:val="0"/>
          <w:color w:val="17202A"/>
          <w:sz w:val="22"/>
        </w:rPr>
        <w:t>Automatizar purgas.</w:t>
      </w:r>
    </w:p>
    <w:p>
      <w:pPr>
        <w:numPr>
          <w:ilvl w:val="0"/>
          <w:numId w:val="10"/>
        </w:numPr>
      </w:pPr>
      <w:r>
        <w:rPr>
          <w:rFonts w:ascii="Calibri" w:hAnsi="Calibri"/>
          <w:b w:val="0"/>
          <w:color w:val="17202A"/>
          <w:sz w:val="22"/>
        </w:rPr>
        <w:t>Ajustar WAF y bots.</w:t>
      </w:r>
    </w:p>
    <w:p>
      <w:pPr>
        <w:pStyle w:val="Heading3"/>
      </w:pPr>
      <w:r>
        <w:rPr>
          <w:rFonts w:ascii="Calibri" w:hAnsi="Calibri"/>
          <w:b/>
          <w:color w:val="1F4D78"/>
          <w:sz w:val="24"/>
        </w:rPr>
        <w:t>Fase 5. Hardening</w:t>
      </w:r>
    </w:p>
    <w:p>
      <w:pPr>
        <w:numPr>
          <w:ilvl w:val="0"/>
          <w:numId w:val="10"/>
        </w:numPr>
      </w:pPr>
      <w:r>
        <w:rPr>
          <w:rFonts w:ascii="Calibri" w:hAnsi="Calibri"/>
          <w:b w:val="0"/>
          <w:color w:val="17202A"/>
          <w:sz w:val="22"/>
        </w:rPr>
        <w:t>Restringir orígenes a Cloudflare y fuentes legítimas.</w:t>
      </w:r>
    </w:p>
    <w:p>
      <w:pPr>
        <w:numPr>
          <w:ilvl w:val="0"/>
          <w:numId w:val="10"/>
        </w:numPr>
      </w:pPr>
      <w:r>
        <w:rPr>
          <w:rFonts w:ascii="Calibri" w:hAnsi="Calibri"/>
          <w:b w:val="0"/>
          <w:color w:val="17202A"/>
          <w:sz w:val="22"/>
        </w:rPr>
        <w:t>Retirar dependencias de AFD solo tras estabilización.</w:t>
      </w:r>
    </w:p>
    <w:p>
      <w:pPr>
        <w:numPr>
          <w:ilvl w:val="0"/>
          <w:numId w:val="10"/>
        </w:numPr>
      </w:pPr>
      <w:r>
        <w:rPr>
          <w:rFonts w:ascii="Calibri" w:hAnsi="Calibri"/>
          <w:b w:val="0"/>
          <w:color w:val="17202A"/>
          <w:sz w:val="22"/>
        </w:rPr>
        <w:t>Documentar operación e incidencias.</w:t>
      </w:r>
    </w:p>
    <w:p>
      <w:pPr>
        <w:pStyle w:val="Heading2"/>
      </w:pPr>
      <w:r>
        <w:rPr>
          <w:rFonts w:ascii="Calibri" w:hAnsi="Calibri"/>
          <w:b/>
          <w:color w:val="2E74B5"/>
          <w:sz w:val="26"/>
        </w:rPr>
        <w:t>8.4. Criterios de rollback</w:t>
      </w:r>
    </w:p>
    <w:p>
      <w:r>
        <w:rPr>
          <w:rFonts w:ascii="Calibri" w:hAnsi="Calibri"/>
          <w:b w:val="0"/>
          <w:color w:val="17202A"/>
          <w:sz w:val="22"/>
        </w:rPr>
        <w:t>Ejemplos de señales acordadas antes del cambio:</w:t>
      </w:r>
    </w:p>
    <w:p>
      <w:pPr>
        <w:numPr>
          <w:ilvl w:val="0"/>
          <w:numId w:val="10"/>
        </w:numPr>
      </w:pPr>
      <w:r>
        <w:rPr>
          <w:rFonts w:ascii="Calibri" w:hAnsi="Calibri"/>
          <w:b w:val="0"/>
          <w:color w:val="17202A"/>
          <w:sz w:val="22"/>
        </w:rPr>
        <w:t>Aumento sostenido de 5xx sobre umbral.</w:t>
      </w:r>
    </w:p>
    <w:p>
      <w:pPr>
        <w:numPr>
          <w:ilvl w:val="0"/>
          <w:numId w:val="10"/>
        </w:numPr>
      </w:pPr>
      <w:r>
        <w:rPr>
          <w:rFonts w:ascii="Calibri" w:hAnsi="Calibri"/>
          <w:b w:val="0"/>
          <w:color w:val="17202A"/>
          <w:sz w:val="22"/>
        </w:rPr>
        <w:t>Fallo de login, carrito, checkout o pago.</w:t>
      </w:r>
    </w:p>
    <w:p>
      <w:pPr>
        <w:numPr>
          <w:ilvl w:val="0"/>
          <w:numId w:val="10"/>
        </w:numPr>
      </w:pPr>
      <w:r>
        <w:rPr>
          <w:rFonts w:ascii="Calibri" w:hAnsi="Calibri"/>
          <w:b w:val="0"/>
          <w:color w:val="17202A"/>
          <w:sz w:val="22"/>
        </w:rPr>
        <w:t>Contenido personalizado servido incorrectamente.</w:t>
      </w:r>
    </w:p>
    <w:p>
      <w:pPr>
        <w:numPr>
          <w:ilvl w:val="0"/>
          <w:numId w:val="10"/>
        </w:numPr>
      </w:pPr>
      <w:r>
        <w:rPr>
          <w:rFonts w:ascii="Calibri" w:hAnsi="Calibri"/>
          <w:b w:val="0"/>
          <w:color w:val="17202A"/>
          <w:sz w:val="22"/>
        </w:rPr>
        <w:t>API OCC bloqueada por WAF.</w:t>
      </w:r>
    </w:p>
    <w:p>
      <w:pPr>
        <w:numPr>
          <w:ilvl w:val="0"/>
          <w:numId w:val="10"/>
        </w:numPr>
      </w:pPr>
      <w:r>
        <w:rPr>
          <w:rFonts w:ascii="Calibri" w:hAnsi="Calibri"/>
          <w:b w:val="0"/>
          <w:color w:val="17202A"/>
          <w:sz w:val="22"/>
        </w:rPr>
        <w:t>Blog con bucles, assets rotos o administración inaccesible.</w:t>
      </w:r>
    </w:p>
    <w:p>
      <w:pPr>
        <w:numPr>
          <w:ilvl w:val="0"/>
          <w:numId w:val="10"/>
        </w:numPr>
      </w:pPr>
      <w:r>
        <w:rPr>
          <w:rFonts w:ascii="Calibri" w:hAnsi="Calibri"/>
          <w:b w:val="0"/>
          <w:color w:val="17202A"/>
          <w:sz w:val="22"/>
        </w:rPr>
        <w:t>Robots/sitemap incorrectos.</w:t>
      </w:r>
    </w:p>
    <w:p>
      <w:pPr>
        <w:numPr>
          <w:ilvl w:val="0"/>
          <w:numId w:val="10"/>
        </w:numPr>
      </w:pPr>
      <w:r>
        <w:rPr>
          <w:rFonts w:ascii="Calibri" w:hAnsi="Calibri"/>
          <w:b w:val="0"/>
          <w:color w:val="17202A"/>
          <w:sz w:val="22"/>
        </w:rPr>
        <w:t>Incapacidad de diagnosticar una incidencia crítica.</w:t>
      </w:r>
    </w:p>
    <w:p>
      <w:r>
        <w:rPr>
          <w:rFonts w:ascii="Calibri" w:hAnsi="Calibri"/>
          <w:b w:val="0"/>
          <w:color w:val="17202A"/>
          <w:sz w:val="22"/>
        </w:rPr>
        <w:t>Rollback significa restaurar el registro DNS anterior y verificar que AFD sigue aceptando tráfico. No debe depender de reconstruir AFD durante la incidencia.</w:t>
      </w:r>
    </w:p>
    <w:p>
      <w:pPr>
        <w:pStyle w:val="Heading1"/>
      </w:pPr>
      <w:r>
        <w:rPr>
          <w:rFonts w:ascii="Calibri" w:hAnsi="Calibri"/>
          <w:b/>
          <w:color w:val="2E74B5"/>
          <w:sz w:val="32"/>
        </w:rPr>
        <w:t>Módulo 9. Validación, métricas y diagnóstico</w:t>
      </w:r>
    </w:p>
    <w:p>
      <w:pPr>
        <w:pStyle w:val="Heading2"/>
      </w:pPr>
      <w:r>
        <w:rPr>
          <w:rFonts w:ascii="Calibri" w:hAnsi="Calibri"/>
          <w:b/>
          <w:color w:val="2E74B5"/>
          <w:sz w:val="26"/>
        </w:rPr>
        <w:t>9.1. Métricas técnicas</w:t>
      </w:r>
    </w:p>
    <w:p>
      <w:pPr>
        <w:numPr>
          <w:ilvl w:val="0"/>
          <w:numId w:val="10"/>
        </w:numPr>
      </w:pPr>
      <w:r>
        <w:rPr>
          <w:rFonts w:ascii="Calibri" w:hAnsi="Calibri"/>
          <w:b w:val="0"/>
          <w:color w:val="17202A"/>
          <w:sz w:val="22"/>
        </w:rPr>
        <w:t>Requests totales y por hostname/ruta.</w:t>
      </w:r>
    </w:p>
    <w:p>
      <w:pPr>
        <w:numPr>
          <w:ilvl w:val="0"/>
          <w:numId w:val="10"/>
        </w:numPr>
      </w:pPr>
      <w:r>
        <w:rPr>
          <w:rFonts w:ascii="Courier New" w:hAnsi="Courier New"/>
          <w:color w:val="1F4D78"/>
          <w:sz w:val="21"/>
          <w:shd w:fill="EEF2F6"/>
        </w:rPr>
        <w:t>HIT</w:t>
      </w:r>
      <w:r>
        <w:rPr>
          <w:rFonts w:ascii="Calibri" w:hAnsi="Calibri"/>
          <w:b w:val="0"/>
          <w:color w:val="17202A"/>
          <w:sz w:val="22"/>
        </w:rPr>
        <w:t xml:space="preserve">, </w:t>
      </w:r>
      <w:r>
        <w:rPr>
          <w:rFonts w:ascii="Courier New" w:hAnsi="Courier New"/>
          <w:color w:val="1F4D78"/>
          <w:sz w:val="21"/>
          <w:shd w:fill="EEF2F6"/>
        </w:rPr>
        <w:t>MISS</w:t>
      </w:r>
      <w:r>
        <w:rPr>
          <w:rFonts w:ascii="Calibri" w:hAnsi="Calibri"/>
          <w:b w:val="0"/>
          <w:color w:val="17202A"/>
          <w:sz w:val="22"/>
        </w:rPr>
        <w:t xml:space="preserve">, </w:t>
      </w:r>
      <w:r>
        <w:rPr>
          <w:rFonts w:ascii="Courier New" w:hAnsi="Courier New"/>
          <w:color w:val="1F4D78"/>
          <w:sz w:val="21"/>
          <w:shd w:fill="EEF2F6"/>
        </w:rPr>
        <w:t>BYPASS</w:t>
      </w:r>
      <w:r>
        <w:rPr>
          <w:rFonts w:ascii="Calibri" w:hAnsi="Calibri"/>
          <w:b w:val="0"/>
          <w:color w:val="17202A"/>
          <w:sz w:val="22"/>
        </w:rPr>
        <w:t xml:space="preserve">, </w:t>
      </w:r>
      <w:r>
        <w:rPr>
          <w:rFonts w:ascii="Courier New" w:hAnsi="Courier New"/>
          <w:color w:val="1F4D78"/>
          <w:sz w:val="21"/>
          <w:shd w:fill="EEF2F6"/>
        </w:rPr>
        <w:t>EXPIRED</w:t>
      </w:r>
      <w:r>
        <w:rPr>
          <w:rFonts w:ascii="Calibri" w:hAnsi="Calibri"/>
          <w:b w:val="0"/>
          <w:color w:val="17202A"/>
          <w:sz w:val="22"/>
        </w:rPr>
        <w:t>.</w:t>
      </w:r>
    </w:p>
    <w:p>
      <w:pPr>
        <w:numPr>
          <w:ilvl w:val="0"/>
          <w:numId w:val="10"/>
        </w:numPr>
      </w:pPr>
      <w:r>
        <w:rPr>
          <w:rFonts w:ascii="Calibri" w:hAnsi="Calibri"/>
          <w:b w:val="0"/>
          <w:color w:val="17202A"/>
          <w:sz w:val="22"/>
        </w:rPr>
        <w:t>Cache hit ratio por tipo de contenido.</w:t>
      </w:r>
    </w:p>
    <w:p>
      <w:pPr>
        <w:numPr>
          <w:ilvl w:val="0"/>
          <w:numId w:val="10"/>
        </w:numPr>
      </w:pPr>
      <w:r>
        <w:rPr>
          <w:rFonts w:ascii="Calibri" w:hAnsi="Calibri"/>
          <w:b w:val="0"/>
          <w:color w:val="17202A"/>
          <w:sz w:val="22"/>
        </w:rPr>
        <w:t>Bytes servidos desde edge.</w:t>
      </w:r>
    </w:p>
    <w:p>
      <w:pPr>
        <w:numPr>
          <w:ilvl w:val="0"/>
          <w:numId w:val="10"/>
        </w:numPr>
      </w:pPr>
      <w:r>
        <w:rPr>
          <w:rFonts w:ascii="Calibri" w:hAnsi="Calibri"/>
          <w:b w:val="0"/>
          <w:color w:val="17202A"/>
          <w:sz w:val="22"/>
        </w:rPr>
        <w:t>Peticiones y tiempo de respuesta del origen.</w:t>
      </w:r>
    </w:p>
    <w:p>
      <w:pPr>
        <w:numPr>
          <w:ilvl w:val="0"/>
          <w:numId w:val="10"/>
        </w:numPr>
      </w:pPr>
      <w:r>
        <w:rPr>
          <w:rFonts w:ascii="Calibri" w:hAnsi="Calibri"/>
          <w:b w:val="0"/>
          <w:color w:val="17202A"/>
          <w:sz w:val="22"/>
        </w:rPr>
        <w:t>TTFB p50/p95/p99.</w:t>
      </w:r>
    </w:p>
    <w:p>
      <w:pPr>
        <w:numPr>
          <w:ilvl w:val="0"/>
          <w:numId w:val="10"/>
        </w:numPr>
      </w:pPr>
      <w:r>
        <w:rPr>
          <w:rFonts w:ascii="Calibri" w:hAnsi="Calibri"/>
          <w:b w:val="0"/>
          <w:color w:val="17202A"/>
          <w:sz w:val="22"/>
        </w:rPr>
        <w:t>4xx/5xx por edge y origen.</w:t>
      </w:r>
    </w:p>
    <w:p>
      <w:pPr>
        <w:numPr>
          <w:ilvl w:val="0"/>
          <w:numId w:val="10"/>
        </w:numPr>
      </w:pPr>
      <w:r>
        <w:rPr>
          <w:rFonts w:ascii="Calibri" w:hAnsi="Calibri"/>
          <w:b w:val="0"/>
          <w:color w:val="17202A"/>
          <w:sz w:val="22"/>
        </w:rPr>
        <w:t>Bloqueos/challenges por regla.</w:t>
      </w:r>
    </w:p>
    <w:p>
      <w:pPr>
        <w:numPr>
          <w:ilvl w:val="0"/>
          <w:numId w:val="10"/>
        </w:numPr>
      </w:pPr>
      <w:r>
        <w:rPr>
          <w:rFonts w:ascii="Calibri" w:hAnsi="Calibri"/>
          <w:b w:val="0"/>
          <w:color w:val="17202A"/>
          <w:sz w:val="22"/>
        </w:rPr>
        <w:t>Disponibilidad de health checks si hay Load Balancing.</w:t>
      </w:r>
    </w:p>
    <w:p>
      <w:pPr>
        <w:pStyle w:val="Heading2"/>
      </w:pPr>
      <w:r>
        <w:rPr>
          <w:rFonts w:ascii="Calibri" w:hAnsi="Calibri"/>
          <w:b/>
          <w:color w:val="2E74B5"/>
          <w:sz w:val="26"/>
        </w:rPr>
        <w:t>9.2. Métricas de negocio y experiencia</w:t>
      </w:r>
    </w:p>
    <w:p>
      <w:pPr>
        <w:numPr>
          <w:ilvl w:val="0"/>
          <w:numId w:val="10"/>
        </w:numPr>
      </w:pPr>
      <w:r>
        <w:rPr>
          <w:rFonts w:ascii="Calibri" w:hAnsi="Calibri"/>
          <w:b w:val="0"/>
          <w:color w:val="17202A"/>
          <w:sz w:val="22"/>
        </w:rPr>
        <w:t>Conversión.</w:t>
      </w:r>
    </w:p>
    <w:p>
      <w:pPr>
        <w:numPr>
          <w:ilvl w:val="0"/>
          <w:numId w:val="10"/>
        </w:numPr>
      </w:pPr>
      <w:r>
        <w:rPr>
          <w:rFonts w:ascii="Calibri" w:hAnsi="Calibri"/>
          <w:b w:val="0"/>
          <w:color w:val="17202A"/>
          <w:sz w:val="22"/>
        </w:rPr>
        <w:t>Errores de carrito y checkout.</w:t>
      </w:r>
    </w:p>
    <w:p>
      <w:pPr>
        <w:numPr>
          <w:ilvl w:val="0"/>
          <w:numId w:val="10"/>
        </w:numPr>
      </w:pPr>
      <w:r>
        <w:rPr>
          <w:rFonts w:ascii="Calibri" w:hAnsi="Calibri"/>
          <w:b w:val="0"/>
          <w:color w:val="17202A"/>
          <w:sz w:val="22"/>
        </w:rPr>
        <w:t>Tiempo hasta contenido y Core Web Vitals.</w:t>
      </w:r>
    </w:p>
    <w:p>
      <w:pPr>
        <w:numPr>
          <w:ilvl w:val="0"/>
          <w:numId w:val="10"/>
        </w:numPr>
      </w:pPr>
      <w:r>
        <w:rPr>
          <w:rFonts w:ascii="Calibri" w:hAnsi="Calibri"/>
          <w:b w:val="0"/>
          <w:color w:val="17202A"/>
          <w:sz w:val="22"/>
        </w:rPr>
        <w:t>Ratio de login correcto.</w:t>
      </w:r>
    </w:p>
    <w:p>
      <w:pPr>
        <w:numPr>
          <w:ilvl w:val="0"/>
          <w:numId w:val="10"/>
        </w:numPr>
      </w:pPr>
      <w:r>
        <w:rPr>
          <w:rFonts w:ascii="Calibri" w:hAnsi="Calibri"/>
          <w:b w:val="0"/>
          <w:color w:val="17202A"/>
          <w:sz w:val="22"/>
        </w:rPr>
        <w:t>Búsquedas y páginas de producto con error.</w:t>
      </w:r>
    </w:p>
    <w:p>
      <w:pPr>
        <w:numPr>
          <w:ilvl w:val="0"/>
          <w:numId w:val="10"/>
        </w:numPr>
      </w:pPr>
      <w:r>
        <w:rPr>
          <w:rFonts w:ascii="Calibri" w:hAnsi="Calibri"/>
          <w:b w:val="0"/>
          <w:color w:val="17202A"/>
          <w:sz w:val="22"/>
        </w:rPr>
        <w:t>Actualización de precio y stock.</w:t>
      </w:r>
    </w:p>
    <w:p>
      <w:pPr>
        <w:numPr>
          <w:ilvl w:val="0"/>
          <w:numId w:val="10"/>
        </w:numPr>
      </w:pPr>
      <w:r>
        <w:rPr>
          <w:rFonts w:ascii="Calibri" w:hAnsi="Calibri"/>
          <w:b w:val="0"/>
          <w:color w:val="17202A"/>
          <w:sz w:val="22"/>
        </w:rPr>
        <w:t>Rastreo e indexación SEO.</w:t>
      </w:r>
    </w:p>
    <w:p>
      <w:r>
        <w:rPr>
          <w:rFonts w:ascii="Calibri" w:hAnsi="Calibri"/>
          <w:b w:val="0"/>
          <w:color w:val="17202A"/>
          <w:sz w:val="22"/>
        </w:rPr>
        <w:t>Una mejora del hit ratio no compensa una caída de conversión o una incoherencia de precio.</w:t>
      </w:r>
    </w:p>
    <w:p>
      <w:pPr>
        <w:pStyle w:val="Heading2"/>
      </w:pPr>
      <w:r>
        <w:rPr>
          <w:rFonts w:ascii="Calibri" w:hAnsi="Calibri"/>
          <w:b/>
          <w:color w:val="2E74B5"/>
          <w:sz w:val="26"/>
        </w:rPr>
        <w:t>9.3. Diagnóstico por capas</w:t>
      </w:r>
    </w:p>
    <w:p>
      <w:r>
        <w:rPr>
          <w:rFonts w:ascii="Calibri" w:hAnsi="Calibri"/>
          <w:b w:val="0"/>
          <w:color w:val="17202A"/>
          <w:sz w:val="22"/>
        </w:rPr>
        <w:t>Cuando algo falla, seguir el recorrido:</w:t>
      </w:r>
    </w:p>
    <w:p>
      <w:pPr>
        <w:numPr>
          <w:ilvl w:val="0"/>
          <w:numId w:val="21"/>
        </w:numPr>
      </w:pPr>
      <w:r>
        <w:rPr>
          <w:rFonts w:ascii="Calibri" w:hAnsi="Calibri"/>
          <w:b w:val="0"/>
          <w:color w:val="17202A"/>
          <w:sz w:val="22"/>
        </w:rPr>
        <w:t>DNS: ¿resuelve al proveedor esperado?</w:t>
      </w:r>
    </w:p>
    <w:p>
      <w:pPr>
        <w:numPr>
          <w:ilvl w:val="0"/>
          <w:numId w:val="21"/>
        </w:numPr>
      </w:pPr>
      <w:r>
        <w:rPr>
          <w:rFonts w:ascii="Calibri" w:hAnsi="Calibri"/>
          <w:b w:val="0"/>
          <w:color w:val="17202A"/>
          <w:sz w:val="22"/>
        </w:rPr>
        <w:t>TLS visitante-edge: ¿certificado y hostname correctos?</w:t>
      </w:r>
    </w:p>
    <w:p>
      <w:pPr>
        <w:numPr>
          <w:ilvl w:val="0"/>
          <w:numId w:val="21"/>
        </w:numPr>
      </w:pPr>
      <w:r>
        <w:rPr>
          <w:rFonts w:ascii="Calibri" w:hAnsi="Calibri"/>
          <w:b w:val="0"/>
          <w:color w:val="17202A"/>
          <w:sz w:val="22"/>
        </w:rPr>
        <w:t>Seguridad edge: ¿qué regla actuó?</w:t>
      </w:r>
    </w:p>
    <w:p>
      <w:pPr>
        <w:numPr>
          <w:ilvl w:val="0"/>
          <w:numId w:val="21"/>
        </w:numPr>
      </w:pPr>
      <w:r>
        <w:rPr>
          <w:rFonts w:ascii="Calibri" w:hAnsi="Calibri"/>
          <w:b w:val="0"/>
          <w:color w:val="17202A"/>
          <w:sz w:val="22"/>
        </w:rPr>
        <w:t>Redirect/rewrite: ¿qué URI resultó?</w:t>
      </w:r>
    </w:p>
    <w:p>
      <w:pPr>
        <w:numPr>
          <w:ilvl w:val="0"/>
          <w:numId w:val="21"/>
        </w:numPr>
      </w:pPr>
      <w:r>
        <w:rPr>
          <w:rFonts w:ascii="Calibri" w:hAnsi="Calibri"/>
          <w:b w:val="0"/>
          <w:color w:val="17202A"/>
          <w:sz w:val="22"/>
        </w:rPr>
        <w:t>Caché: ¿status, Age y key esperados?</w:t>
      </w:r>
    </w:p>
    <w:p>
      <w:pPr>
        <w:numPr>
          <w:ilvl w:val="0"/>
          <w:numId w:val="21"/>
        </w:numPr>
      </w:pPr>
      <w:r>
        <w:rPr>
          <w:rFonts w:ascii="Calibri" w:hAnsi="Calibri"/>
          <w:b w:val="0"/>
          <w:color w:val="17202A"/>
          <w:sz w:val="22"/>
        </w:rPr>
        <w:t>Conexión al origen: ¿DNS, SNI, Host y certificado?</w:t>
      </w:r>
    </w:p>
    <w:p>
      <w:pPr>
        <w:numPr>
          <w:ilvl w:val="0"/>
          <w:numId w:val="21"/>
        </w:numPr>
      </w:pPr>
      <w:r>
        <w:rPr>
          <w:rFonts w:ascii="Calibri" w:hAnsi="Calibri"/>
          <w:b w:val="0"/>
          <w:color w:val="17202A"/>
          <w:sz w:val="22"/>
        </w:rPr>
        <w:t>Origen: ¿SAP, Application Gateway o WordPress respondió?</w:t>
      </w:r>
    </w:p>
    <w:p>
      <w:pPr>
        <w:numPr>
          <w:ilvl w:val="0"/>
          <w:numId w:val="21"/>
        </w:numPr>
      </w:pPr>
      <w:r>
        <w:rPr>
          <w:rFonts w:ascii="Calibri" w:hAnsi="Calibri"/>
          <w:b w:val="0"/>
          <w:color w:val="17202A"/>
          <w:sz w:val="22"/>
        </w:rPr>
        <w:t>Respuesta: ¿cabeceras, cookies y CORS correctos?</w:t>
      </w:r>
    </w:p>
    <w:p>
      <w:r>
        <w:rPr>
          <w:rFonts w:ascii="Calibri" w:hAnsi="Calibri"/>
          <w:b w:val="0"/>
          <w:color w:val="17202A"/>
          <w:sz w:val="22"/>
        </w:rPr>
        <w:t>Este orden evita culpar a “Cloudflare” o “SAP” sin localizar la capa.</w:t>
      </w:r>
    </w:p>
    <w:p>
      <w:pPr>
        <w:pStyle w:val="Heading1"/>
      </w:pPr>
      <w:r>
        <w:rPr>
          <w:rFonts w:ascii="Calibri" w:hAnsi="Calibri"/>
          <w:b/>
          <w:color w:val="2E74B5"/>
          <w:sz w:val="32"/>
        </w:rPr>
        <w:t>Módulo 10. Operación diaria</w:t>
      </w:r>
    </w:p>
    <w:p>
      <w:pPr>
        <w:pStyle w:val="Heading2"/>
      </w:pPr>
      <w:r>
        <w:rPr>
          <w:rFonts w:ascii="Calibri" w:hAnsi="Calibri"/>
          <w:b/>
          <w:color w:val="2E74B5"/>
          <w:sz w:val="26"/>
        </w:rPr>
        <w:t>10.1. Cambios seguros</w:t>
      </w:r>
    </w:p>
    <w:p>
      <w:pPr>
        <w:numPr>
          <w:ilvl w:val="0"/>
          <w:numId w:val="10"/>
        </w:numPr>
      </w:pPr>
      <w:r>
        <w:rPr>
          <w:rFonts w:ascii="Calibri" w:hAnsi="Calibri"/>
          <w:b w:val="0"/>
          <w:color w:val="17202A"/>
          <w:sz w:val="22"/>
        </w:rPr>
        <w:t>Describir propósito y alcance de cada regla.</w:t>
      </w:r>
    </w:p>
    <w:p>
      <w:pPr>
        <w:numPr>
          <w:ilvl w:val="0"/>
          <w:numId w:val="10"/>
        </w:numPr>
      </w:pPr>
      <w:r>
        <w:rPr>
          <w:rFonts w:ascii="Calibri" w:hAnsi="Calibri"/>
          <w:b w:val="0"/>
          <w:color w:val="17202A"/>
          <w:sz w:val="22"/>
        </w:rPr>
        <w:t>Usar nombres estables y comentarios.</w:t>
      </w:r>
    </w:p>
    <w:p>
      <w:pPr>
        <w:numPr>
          <w:ilvl w:val="0"/>
          <w:numId w:val="10"/>
        </w:numPr>
      </w:pPr>
      <w:r>
        <w:rPr>
          <w:rFonts w:ascii="Calibri" w:hAnsi="Calibri"/>
          <w:b w:val="0"/>
          <w:color w:val="17202A"/>
          <w:sz w:val="22"/>
        </w:rPr>
        <w:t>Probar expresión contra URLs representativas.</w:t>
      </w:r>
    </w:p>
    <w:p>
      <w:pPr>
        <w:numPr>
          <w:ilvl w:val="0"/>
          <w:numId w:val="10"/>
        </w:numPr>
      </w:pPr>
      <w:r>
        <w:rPr>
          <w:rFonts w:ascii="Calibri" w:hAnsi="Calibri"/>
          <w:b w:val="0"/>
          <w:color w:val="17202A"/>
          <w:sz w:val="22"/>
        </w:rPr>
        <w:t>Evitar cambios simultáneos de WAF, caché y origen.</w:t>
      </w:r>
    </w:p>
    <w:p>
      <w:pPr>
        <w:numPr>
          <w:ilvl w:val="0"/>
          <w:numId w:val="10"/>
        </w:numPr>
      </w:pPr>
      <w:r>
        <w:rPr>
          <w:rFonts w:ascii="Calibri" w:hAnsi="Calibri"/>
          <w:b w:val="0"/>
          <w:color w:val="17202A"/>
          <w:sz w:val="22"/>
        </w:rPr>
        <w:t>Mantener exportación/versionado cuando sea posible.</w:t>
      </w:r>
    </w:p>
    <w:p>
      <w:pPr>
        <w:numPr>
          <w:ilvl w:val="0"/>
          <w:numId w:val="10"/>
        </w:numPr>
      </w:pPr>
      <w:r>
        <w:rPr>
          <w:rFonts w:ascii="Calibri" w:hAnsi="Calibri"/>
          <w:b w:val="0"/>
          <w:color w:val="17202A"/>
          <w:sz w:val="22"/>
        </w:rPr>
        <w:t>Registrar quién aprobó y cómo revertir.</w:t>
      </w:r>
    </w:p>
    <w:p>
      <w:pPr>
        <w:pStyle w:val="Heading2"/>
      </w:pPr>
      <w:r>
        <w:rPr>
          <w:rFonts w:ascii="Calibri" w:hAnsi="Calibri"/>
          <w:b/>
          <w:color w:val="2E74B5"/>
          <w:sz w:val="26"/>
        </w:rPr>
        <w:t>10.2. Purga operativa</w:t>
      </w:r>
    </w:p>
    <w:p>
      <w:pPr>
        <w:numPr>
          <w:ilvl w:val="0"/>
          <w:numId w:val="10"/>
        </w:numPr>
      </w:pPr>
      <w:r>
        <w:rPr>
          <w:rFonts w:ascii="Calibri" w:hAnsi="Calibri"/>
          <w:b w:val="0"/>
          <w:color w:val="17202A"/>
          <w:sz w:val="22"/>
        </w:rPr>
        <w:t>URL para una corrección concreta.</w:t>
      </w:r>
    </w:p>
    <w:p>
      <w:pPr>
        <w:numPr>
          <w:ilvl w:val="0"/>
          <w:numId w:val="10"/>
        </w:numPr>
      </w:pPr>
      <w:r>
        <w:rPr>
          <w:rFonts w:ascii="Calibri" w:hAnsi="Calibri"/>
          <w:b w:val="0"/>
          <w:color w:val="17202A"/>
          <w:sz w:val="22"/>
        </w:rPr>
        <w:t>Tag para producto/categoría/campaña.</w:t>
      </w:r>
    </w:p>
    <w:p>
      <w:pPr>
        <w:numPr>
          <w:ilvl w:val="0"/>
          <w:numId w:val="10"/>
        </w:numPr>
      </w:pPr>
      <w:r>
        <w:rPr>
          <w:rFonts w:ascii="Calibri" w:hAnsi="Calibri"/>
          <w:b w:val="0"/>
          <w:color w:val="17202A"/>
          <w:sz w:val="22"/>
        </w:rPr>
        <w:t>Prefijo para una familia de rutas.</w:t>
      </w:r>
    </w:p>
    <w:p>
      <w:pPr>
        <w:numPr>
          <w:ilvl w:val="0"/>
          <w:numId w:val="10"/>
        </w:numPr>
      </w:pPr>
      <w:r>
        <w:rPr>
          <w:rFonts w:ascii="Calibri" w:hAnsi="Calibri"/>
          <w:b w:val="0"/>
          <w:color w:val="17202A"/>
          <w:sz w:val="22"/>
        </w:rPr>
        <w:t>Hostname para una superficie completa.</w:t>
      </w:r>
    </w:p>
    <w:p>
      <w:pPr>
        <w:numPr>
          <w:ilvl w:val="0"/>
          <w:numId w:val="10"/>
        </w:numPr>
      </w:pPr>
      <w:r>
        <w:rPr>
          <w:rFonts w:ascii="Calibri" w:hAnsi="Calibri"/>
          <w:b w:val="0"/>
          <w:color w:val="17202A"/>
          <w:sz w:val="22"/>
        </w:rPr>
        <w:t>Purge Everything solo para incidentes justificados.</w:t>
      </w:r>
    </w:p>
    <w:p>
      <w:pPr>
        <w:pStyle w:val="Heading2"/>
      </w:pPr>
      <w:r>
        <w:rPr>
          <w:rFonts w:ascii="Calibri" w:hAnsi="Calibri"/>
          <w:b/>
          <w:color w:val="2E74B5"/>
          <w:sz w:val="26"/>
        </w:rPr>
        <w:t>10.3. Revisión periódica</w:t>
      </w:r>
    </w:p>
    <w:p>
      <w:pPr>
        <w:numPr>
          <w:ilvl w:val="0"/>
          <w:numId w:val="10"/>
        </w:numPr>
      </w:pPr>
      <w:r>
        <w:rPr>
          <w:rFonts w:ascii="Calibri" w:hAnsi="Calibri"/>
          <w:b w:val="0"/>
          <w:color w:val="17202A"/>
          <w:sz w:val="22"/>
        </w:rPr>
        <w:t>Reglas sin coincidencias o duplicadas.</w:t>
      </w:r>
    </w:p>
    <w:p>
      <w:pPr>
        <w:numPr>
          <w:ilvl w:val="0"/>
          <w:numId w:val="10"/>
        </w:numPr>
      </w:pPr>
      <w:r>
        <w:rPr>
          <w:rFonts w:ascii="Calibri" w:hAnsi="Calibri"/>
          <w:b w:val="0"/>
          <w:color w:val="17202A"/>
          <w:sz w:val="22"/>
        </w:rPr>
        <w:t>Excepciones temporales que siguen activas.</w:t>
      </w:r>
    </w:p>
    <w:p>
      <w:pPr>
        <w:numPr>
          <w:ilvl w:val="0"/>
          <w:numId w:val="10"/>
        </w:numPr>
      </w:pPr>
      <w:r>
        <w:rPr>
          <w:rFonts w:ascii="Calibri" w:hAnsi="Calibri"/>
          <w:b w:val="0"/>
          <w:color w:val="17202A"/>
          <w:sz w:val="22"/>
        </w:rPr>
        <w:t>Bots verificados bloqueados.</w:t>
      </w:r>
    </w:p>
    <w:p>
      <w:pPr>
        <w:numPr>
          <w:ilvl w:val="0"/>
          <w:numId w:val="10"/>
        </w:numPr>
      </w:pPr>
      <w:r>
        <w:rPr>
          <w:rFonts w:ascii="Calibri" w:hAnsi="Calibri"/>
          <w:b w:val="0"/>
          <w:color w:val="17202A"/>
          <w:sz w:val="22"/>
        </w:rPr>
        <w:t>Paths nuevos de SAP no clasificados.</w:t>
      </w:r>
    </w:p>
    <w:p>
      <w:pPr>
        <w:numPr>
          <w:ilvl w:val="0"/>
          <w:numId w:val="10"/>
        </w:numPr>
      </w:pPr>
      <w:r>
        <w:rPr>
          <w:rFonts w:ascii="Calibri" w:hAnsi="Calibri"/>
          <w:b w:val="0"/>
          <w:color w:val="17202A"/>
          <w:sz w:val="22"/>
        </w:rPr>
        <w:t>Cambios de cookies o personalización.</w:t>
      </w:r>
    </w:p>
    <w:p>
      <w:pPr>
        <w:numPr>
          <w:ilvl w:val="0"/>
          <w:numId w:val="10"/>
        </w:numPr>
      </w:pPr>
      <w:r>
        <w:rPr>
          <w:rFonts w:ascii="Calibri" w:hAnsi="Calibri"/>
          <w:b w:val="0"/>
          <w:color w:val="17202A"/>
          <w:sz w:val="22"/>
        </w:rPr>
        <w:t>Estado de certificados.</w:t>
      </w:r>
    </w:p>
    <w:p>
      <w:pPr>
        <w:numPr>
          <w:ilvl w:val="0"/>
          <w:numId w:val="10"/>
        </w:numPr>
      </w:pPr>
      <w:r>
        <w:rPr>
          <w:rFonts w:ascii="Calibri" w:hAnsi="Calibri"/>
          <w:b w:val="0"/>
          <w:color w:val="17202A"/>
          <w:sz w:val="22"/>
        </w:rPr>
        <w:t>Rangos IP y allowlists.</w:t>
      </w:r>
    </w:p>
    <w:p>
      <w:pPr>
        <w:numPr>
          <w:ilvl w:val="0"/>
          <w:numId w:val="10"/>
        </w:numPr>
      </w:pPr>
      <w:r>
        <w:rPr>
          <w:rFonts w:ascii="Calibri" w:hAnsi="Calibri"/>
          <w:b w:val="0"/>
          <w:color w:val="17202A"/>
          <w:sz w:val="22"/>
        </w:rPr>
        <w:t>Consumo de add-ons y facturación.</w:t>
      </w:r>
    </w:p>
    <w:p>
      <w:pPr>
        <w:pStyle w:val="Heading1"/>
      </w:pPr>
      <w:r>
        <w:rPr>
          <w:rFonts w:ascii="Calibri" w:hAnsi="Calibri"/>
          <w:b/>
          <w:color w:val="2E74B5"/>
          <w:sz w:val="32"/>
        </w:rPr>
        <w:t>Caso práctico final</w:t>
      </w:r>
    </w:p>
    <w:p>
      <w:r>
        <w:rPr>
          <w:rFonts w:ascii="Calibri" w:hAnsi="Calibri"/>
          <w:b w:val="0"/>
          <w:color w:val="17202A"/>
          <w:sz w:val="22"/>
        </w:rPr>
        <w:t xml:space="preserve">Se propone migrar un dominio de ecommerce que mantiene Azure DNS. La tienda y la API viven en SAP Commerce. </w:t>
      </w:r>
      <w:r>
        <w:rPr>
          <w:rFonts w:ascii="Courier New" w:hAnsi="Courier New"/>
          <w:color w:val="1F4D78"/>
          <w:sz w:val="21"/>
          <w:shd w:fill="EEF2F6"/>
        </w:rPr>
        <w:t>/pt/blog</w:t>
      </w:r>
      <w:r>
        <w:rPr>
          <w:rFonts w:ascii="Calibri" w:hAnsi="Calibri"/>
          <w:b w:val="0"/>
          <w:color w:val="17202A"/>
          <w:sz w:val="22"/>
        </w:rPr>
        <w:t xml:space="preserve"> debe continuar a Application Gateway y WordPress. Existen redirects de URLs heredadas, rewrites de idioma y caché específica para home, producto, categoría, traducciones y tiendas.</w:t>
      </w:r>
    </w:p>
    <w:p>
      <w:r>
        <w:rPr>
          <w:rFonts w:ascii="Calibri" w:hAnsi="Calibri"/>
          <w:b w:val="0"/>
          <w:color w:val="17202A"/>
          <w:sz w:val="22"/>
        </w:rPr>
        <w:t>Tu tarea es producir:</w:t>
      </w:r>
    </w:p>
    <w:p>
      <w:pPr>
        <w:numPr>
          <w:ilvl w:val="0"/>
          <w:numId w:val="22"/>
        </w:numPr>
      </w:pPr>
      <w:r>
        <w:rPr>
          <w:rFonts w:ascii="Calibri" w:hAnsi="Calibri"/>
          <w:b w:val="0"/>
          <w:color w:val="17202A"/>
          <w:sz w:val="22"/>
        </w:rPr>
        <w:t>Diagrama de arquitectura objetivo.</w:t>
      </w:r>
    </w:p>
    <w:p>
      <w:pPr>
        <w:numPr>
          <w:ilvl w:val="0"/>
          <w:numId w:val="22"/>
        </w:numPr>
      </w:pPr>
      <w:r>
        <w:rPr>
          <w:rFonts w:ascii="Calibri" w:hAnsi="Calibri"/>
          <w:b w:val="0"/>
          <w:color w:val="17202A"/>
          <w:sz w:val="22"/>
        </w:rPr>
        <w:t>Decisión zona completa o CNAME parcial.</w:t>
      </w:r>
    </w:p>
    <w:p>
      <w:pPr>
        <w:numPr>
          <w:ilvl w:val="0"/>
          <w:numId w:val="22"/>
        </w:numPr>
      </w:pPr>
      <w:r>
        <w:rPr>
          <w:rFonts w:ascii="Calibri" w:hAnsi="Calibri"/>
          <w:b w:val="0"/>
          <w:color w:val="17202A"/>
          <w:sz w:val="22"/>
        </w:rPr>
        <w:t>Matriz de rutas y orígenes.</w:t>
      </w:r>
    </w:p>
    <w:p>
      <w:pPr>
        <w:numPr>
          <w:ilvl w:val="0"/>
          <w:numId w:val="22"/>
        </w:numPr>
      </w:pPr>
      <w:r>
        <w:rPr>
          <w:rFonts w:ascii="Calibri" w:hAnsi="Calibri"/>
          <w:b w:val="0"/>
          <w:color w:val="17202A"/>
          <w:sz w:val="22"/>
        </w:rPr>
        <w:t>Reglas iniciales de bypass.</w:t>
      </w:r>
    </w:p>
    <w:p>
      <w:pPr>
        <w:numPr>
          <w:ilvl w:val="0"/>
          <w:numId w:val="22"/>
        </w:numPr>
      </w:pPr>
      <w:r>
        <w:rPr>
          <w:rFonts w:ascii="Calibri" w:hAnsi="Calibri"/>
          <w:b w:val="0"/>
          <w:color w:val="17202A"/>
          <w:sz w:val="22"/>
        </w:rPr>
        <w:t>Plan de WAF conservador.</w:t>
      </w:r>
    </w:p>
    <w:p>
      <w:pPr>
        <w:numPr>
          <w:ilvl w:val="0"/>
          <w:numId w:val="22"/>
        </w:numPr>
      </w:pPr>
      <w:r>
        <w:rPr>
          <w:rFonts w:ascii="Calibri" w:hAnsi="Calibri"/>
          <w:b w:val="0"/>
          <w:color w:val="17202A"/>
          <w:sz w:val="22"/>
        </w:rPr>
        <w:t>Pruebas de checkout, API, blog y SEO.</w:t>
      </w:r>
    </w:p>
    <w:p>
      <w:pPr>
        <w:numPr>
          <w:ilvl w:val="0"/>
          <w:numId w:val="22"/>
        </w:numPr>
      </w:pPr>
      <w:r>
        <w:rPr>
          <w:rFonts w:ascii="Calibri" w:hAnsi="Calibri"/>
          <w:b w:val="0"/>
          <w:color w:val="17202A"/>
          <w:sz w:val="22"/>
        </w:rPr>
        <w:t>Criterios de rollback.</w:t>
      </w:r>
    </w:p>
    <w:p>
      <w:pPr>
        <w:numPr>
          <w:ilvl w:val="0"/>
          <w:numId w:val="22"/>
        </w:numPr>
      </w:pPr>
      <w:r>
        <w:rPr>
          <w:rFonts w:ascii="Calibri" w:hAnsi="Calibri"/>
          <w:b w:val="0"/>
          <w:color w:val="17202A"/>
          <w:sz w:val="22"/>
        </w:rPr>
        <w:t>Lista de gaps que pueden requerir add-on o Enterprise.</w:t>
      </w:r>
    </w:p>
    <w:p>
      <w:pPr>
        <w:pStyle w:val="Heading1"/>
      </w:pPr>
      <w:r>
        <w:rPr>
          <w:rFonts w:ascii="Calibri" w:hAnsi="Calibri"/>
          <w:b/>
          <w:color w:val="2E74B5"/>
          <w:sz w:val="32"/>
        </w:rPr>
        <w:t>Glosario esencial</w:t>
      </w:r>
    </w:p>
    <w:tbl>
      <w:tblPr>
        <w:tblStyle w:val="TableGrid"/>
        <w:tblW w:type="dxa" w:w="9360"/>
        <w:jc w:val="left"/>
        <w:tblLayout w:type="fixed"/>
        <w:tblLook w:firstColumn="1" w:firstRow="1" w:lastColumn="0" w:lastRow="0" w:noHBand="0" w:noVBand="1" w:val="04A0"/>
        <w:tblInd w:w="120" w:type="dxa"/>
      </w:tblPr>
      <w:tblGrid>
        <w:gridCol w:w="2700"/>
        <w:gridCol w:w="6660"/>
      </w:tblGrid>
      <w:tr>
        <w:trPr>
          <w:tblHeader w:val="true"/>
        </w:trPr>
        <w:tc>
          <w:tcPr>
            <w:tcW w:type="dxa" w:w="2700"/>
            <w:tcMar>
              <w:top w:w="80" w:type="dxa"/>
              <w:start w:w="120" w:type="dxa"/>
              <w:bottom w:w="80" w:type="dxa"/>
              <w:end w:w="120" w:type="dxa"/>
            </w:tcMar>
            <w:vAlign w:val="center"/>
            <w:shd w:fill="E8EEF5"/>
          </w:tcPr>
          <w:p>
            <w:pPr>
              <w:spacing w:before="0" w:after="0" w:line="276" w:lineRule="auto"/>
            </w:pPr>
            <w:r>
              <w:rPr>
                <w:rFonts w:ascii="Calibri" w:hAnsi="Calibri"/>
                <w:b/>
                <w:color w:val="17202A"/>
                <w:sz w:val="19"/>
              </w:rPr>
              <w:t>Término</w:t>
            </w:r>
          </w:p>
        </w:tc>
        <w:tc>
          <w:tcPr>
            <w:tcW w:type="dxa" w:w="6660"/>
            <w:tcMar>
              <w:top w:w="80" w:type="dxa"/>
              <w:start w:w="120" w:type="dxa"/>
              <w:bottom w:w="80" w:type="dxa"/>
              <w:end w:w="120" w:type="dxa"/>
            </w:tcMar>
            <w:vAlign w:val="center"/>
            <w:shd w:fill="E8EEF5"/>
          </w:tcPr>
          <w:p>
            <w:pPr>
              <w:spacing w:before="0" w:after="0" w:line="276" w:lineRule="auto"/>
            </w:pPr>
            <w:r>
              <w:rPr>
                <w:rFonts w:ascii="Calibri" w:hAnsi="Calibri"/>
                <w:b/>
                <w:color w:val="17202A"/>
                <w:sz w:val="19"/>
              </w:rPr>
              <w:t>Definición</w:t>
            </w:r>
          </w:p>
        </w:tc>
      </w:tr>
      <w:tr>
        <w:tc>
          <w:tcPr>
            <w:tcW w:type="dxa" w:w="2700"/>
            <w:tcMar>
              <w:top w:w="80" w:type="dxa"/>
              <w:start w:w="120" w:type="dxa"/>
              <w:bottom w:w="80" w:type="dxa"/>
              <w:end w:w="120" w:type="dxa"/>
            </w:tcMar>
            <w:vAlign w:val="center"/>
          </w:tcPr>
          <w:p>
            <w:pPr>
              <w:spacing w:before="0" w:after="0" w:line="276" w:lineRule="auto"/>
            </w:pPr>
            <w:r>
              <w:rPr>
                <w:rFonts w:ascii="Calibri" w:hAnsi="Calibri"/>
                <w:b w:val="0"/>
                <w:color w:val="17202A"/>
                <w:sz w:val="19"/>
              </w:rPr>
              <w:t>Anycast</w:t>
            </w:r>
          </w:p>
        </w:tc>
        <w:tc>
          <w:tcPr>
            <w:tcW w:type="dxa" w:w="6660"/>
            <w:tcMar>
              <w:top w:w="80" w:type="dxa"/>
              <w:start w:w="120" w:type="dxa"/>
              <w:bottom w:w="80" w:type="dxa"/>
              <w:end w:w="120" w:type="dxa"/>
            </w:tcMar>
            <w:vAlign w:val="center"/>
          </w:tcPr>
          <w:p>
            <w:pPr>
              <w:spacing w:before="0" w:after="0" w:line="276" w:lineRule="auto"/>
            </w:pPr>
            <w:r>
              <w:rPr>
                <w:rFonts w:ascii="Calibri" w:hAnsi="Calibri"/>
                <w:b w:val="0"/>
                <w:color w:val="17202A"/>
                <w:sz w:val="19"/>
              </w:rPr>
              <w:t>La misma dirección se anuncia desde múltiples ubicaciones; la red encamina al punto adecuado.</w:t>
            </w:r>
          </w:p>
        </w:tc>
      </w:tr>
      <w:tr>
        <w:tc>
          <w:tcPr>
            <w:tcW w:type="dxa" w:w="2700"/>
            <w:tcMar>
              <w:top w:w="80" w:type="dxa"/>
              <w:start w:w="120" w:type="dxa"/>
              <w:bottom w:w="80" w:type="dxa"/>
              <w:end w:w="120" w:type="dxa"/>
            </w:tcMar>
            <w:vAlign w:val="center"/>
          </w:tcPr>
          <w:p>
            <w:pPr>
              <w:spacing w:before="0" w:after="0" w:line="276" w:lineRule="auto"/>
            </w:pPr>
            <w:r>
              <w:rPr>
                <w:rFonts w:ascii="Calibri" w:hAnsi="Calibri"/>
                <w:b w:val="0"/>
                <w:color w:val="17202A"/>
                <w:sz w:val="19"/>
              </w:rPr>
              <w:t>Apex</w:t>
            </w:r>
          </w:p>
        </w:tc>
        <w:tc>
          <w:tcPr>
            <w:tcW w:type="dxa" w:w="6660"/>
            <w:tcMar>
              <w:top w:w="80" w:type="dxa"/>
              <w:start w:w="120" w:type="dxa"/>
              <w:bottom w:w="80" w:type="dxa"/>
              <w:end w:w="120" w:type="dxa"/>
            </w:tcMar>
            <w:vAlign w:val="center"/>
          </w:tcPr>
          <w:p>
            <w:pPr>
              <w:spacing w:before="0" w:after="0" w:line="276" w:lineRule="auto"/>
            </w:pPr>
            <w:r>
              <w:rPr>
                <w:rFonts w:ascii="Calibri" w:hAnsi="Calibri"/>
                <w:b w:val="0"/>
                <w:color w:val="17202A"/>
                <w:sz w:val="19"/>
              </w:rPr>
              <w:t xml:space="preserve">Dominio raíz, sin subdominio, por ejemplo </w:t>
            </w:r>
            <w:r>
              <w:rPr>
                <w:rFonts w:ascii="Courier New" w:hAnsi="Courier New"/>
                <w:color w:val="1F4D78"/>
                <w:sz w:val="18"/>
                <w:shd w:fill="EEF2F6"/>
              </w:rPr>
              <w:t>ejemplo.pt</w:t>
            </w:r>
            <w:r>
              <w:rPr>
                <w:rFonts w:ascii="Calibri" w:hAnsi="Calibri"/>
                <w:b w:val="0"/>
                <w:color w:val="17202A"/>
                <w:sz w:val="19"/>
              </w:rPr>
              <w:t>.</w:t>
            </w:r>
          </w:p>
        </w:tc>
      </w:tr>
      <w:tr>
        <w:tc>
          <w:tcPr>
            <w:tcW w:type="dxa" w:w="2700"/>
            <w:tcMar>
              <w:top w:w="80" w:type="dxa"/>
              <w:start w:w="120" w:type="dxa"/>
              <w:bottom w:w="80" w:type="dxa"/>
              <w:end w:w="120" w:type="dxa"/>
            </w:tcMar>
            <w:vAlign w:val="center"/>
          </w:tcPr>
          <w:p>
            <w:pPr>
              <w:spacing w:before="0" w:after="0" w:line="276" w:lineRule="auto"/>
            </w:pPr>
            <w:r>
              <w:rPr>
                <w:rFonts w:ascii="Calibri" w:hAnsi="Calibri"/>
                <w:b w:val="0"/>
                <w:color w:val="17202A"/>
                <w:sz w:val="19"/>
              </w:rPr>
              <w:t>Cache key</w:t>
            </w:r>
          </w:p>
        </w:tc>
        <w:tc>
          <w:tcPr>
            <w:tcW w:type="dxa" w:w="6660"/>
            <w:tcMar>
              <w:top w:w="80" w:type="dxa"/>
              <w:start w:w="120" w:type="dxa"/>
              <w:bottom w:w="80" w:type="dxa"/>
              <w:end w:w="120" w:type="dxa"/>
            </w:tcMar>
            <w:vAlign w:val="center"/>
          </w:tcPr>
          <w:p>
            <w:pPr>
              <w:spacing w:before="0" w:after="0" w:line="276" w:lineRule="auto"/>
            </w:pPr>
            <w:r>
              <w:rPr>
                <w:rFonts w:ascii="Calibri" w:hAnsi="Calibri"/>
                <w:b w:val="0"/>
                <w:color w:val="17202A"/>
                <w:sz w:val="19"/>
              </w:rPr>
              <w:t>Identidad con la que una caché distingue variantes de un objeto.</w:t>
            </w:r>
          </w:p>
        </w:tc>
      </w:tr>
      <w:tr>
        <w:tc>
          <w:tcPr>
            <w:tcW w:type="dxa" w:w="2700"/>
            <w:tcMar>
              <w:top w:w="80" w:type="dxa"/>
              <w:start w:w="120" w:type="dxa"/>
              <w:bottom w:w="80" w:type="dxa"/>
              <w:end w:w="120" w:type="dxa"/>
            </w:tcMar>
            <w:vAlign w:val="center"/>
          </w:tcPr>
          <w:p>
            <w:pPr>
              <w:spacing w:before="0" w:after="0" w:line="276" w:lineRule="auto"/>
            </w:pPr>
            <w:r>
              <w:rPr>
                <w:rFonts w:ascii="Calibri" w:hAnsi="Calibri"/>
                <w:b w:val="0"/>
                <w:color w:val="17202A"/>
                <w:sz w:val="19"/>
              </w:rPr>
              <w:t>Cache Tag</w:t>
            </w:r>
          </w:p>
        </w:tc>
        <w:tc>
          <w:tcPr>
            <w:tcW w:type="dxa" w:w="6660"/>
            <w:tcMar>
              <w:top w:w="80" w:type="dxa"/>
              <w:start w:w="120" w:type="dxa"/>
              <w:bottom w:w="80" w:type="dxa"/>
              <w:end w:w="120" w:type="dxa"/>
            </w:tcMar>
            <w:vAlign w:val="center"/>
          </w:tcPr>
          <w:p>
            <w:pPr>
              <w:spacing w:before="0" w:after="0" w:line="276" w:lineRule="auto"/>
            </w:pPr>
            <w:r>
              <w:rPr>
                <w:rFonts w:ascii="Calibri" w:hAnsi="Calibri"/>
                <w:b w:val="0"/>
                <w:color w:val="17202A"/>
                <w:sz w:val="19"/>
              </w:rPr>
              <w:t>Etiqueta asociada a objetos cacheados para purgarlos en grupo.</w:t>
            </w:r>
          </w:p>
        </w:tc>
      </w:tr>
      <w:tr>
        <w:tc>
          <w:tcPr>
            <w:tcW w:type="dxa" w:w="2700"/>
            <w:tcMar>
              <w:top w:w="80" w:type="dxa"/>
              <w:start w:w="120" w:type="dxa"/>
              <w:bottom w:w="80" w:type="dxa"/>
              <w:end w:w="120" w:type="dxa"/>
            </w:tcMar>
            <w:vAlign w:val="center"/>
          </w:tcPr>
          <w:p>
            <w:pPr>
              <w:spacing w:before="0" w:after="0" w:line="276" w:lineRule="auto"/>
            </w:pPr>
            <w:r>
              <w:rPr>
                <w:rFonts w:ascii="Calibri" w:hAnsi="Calibri"/>
                <w:b w:val="0"/>
                <w:color w:val="17202A"/>
                <w:sz w:val="19"/>
              </w:rPr>
              <w:t>CDN</w:t>
            </w:r>
          </w:p>
        </w:tc>
        <w:tc>
          <w:tcPr>
            <w:tcW w:type="dxa" w:w="6660"/>
            <w:tcMar>
              <w:top w:w="80" w:type="dxa"/>
              <w:start w:w="120" w:type="dxa"/>
              <w:bottom w:w="80" w:type="dxa"/>
              <w:end w:w="120" w:type="dxa"/>
            </w:tcMar>
            <w:vAlign w:val="center"/>
          </w:tcPr>
          <w:p>
            <w:pPr>
              <w:spacing w:before="0" w:after="0" w:line="276" w:lineRule="auto"/>
            </w:pPr>
            <w:r>
              <w:rPr>
                <w:rFonts w:ascii="Calibri" w:hAnsi="Calibri"/>
                <w:b w:val="0"/>
                <w:color w:val="17202A"/>
                <w:sz w:val="19"/>
              </w:rPr>
              <w:t>Red distribuida que acerca contenido y reduce carga al origen.</w:t>
            </w:r>
          </w:p>
        </w:tc>
      </w:tr>
      <w:tr>
        <w:tc>
          <w:tcPr>
            <w:tcW w:type="dxa" w:w="2700"/>
            <w:tcMar>
              <w:top w:w="80" w:type="dxa"/>
              <w:start w:w="120" w:type="dxa"/>
              <w:bottom w:w="80" w:type="dxa"/>
              <w:end w:w="120" w:type="dxa"/>
            </w:tcMar>
            <w:vAlign w:val="center"/>
          </w:tcPr>
          <w:p>
            <w:pPr>
              <w:spacing w:before="0" w:after="0" w:line="276" w:lineRule="auto"/>
            </w:pPr>
            <w:r>
              <w:rPr>
                <w:rFonts w:ascii="Calibri" w:hAnsi="Calibri"/>
                <w:b w:val="0"/>
                <w:color w:val="17202A"/>
                <w:sz w:val="19"/>
              </w:rPr>
              <w:t>Edge</w:t>
            </w:r>
          </w:p>
        </w:tc>
        <w:tc>
          <w:tcPr>
            <w:tcW w:type="dxa" w:w="6660"/>
            <w:tcMar>
              <w:top w:w="80" w:type="dxa"/>
              <w:start w:w="120" w:type="dxa"/>
              <w:bottom w:w="80" w:type="dxa"/>
              <w:end w:w="120" w:type="dxa"/>
            </w:tcMar>
            <w:vAlign w:val="center"/>
          </w:tcPr>
          <w:p>
            <w:pPr>
              <w:spacing w:before="0" w:after="0" w:line="276" w:lineRule="auto"/>
            </w:pPr>
            <w:r>
              <w:rPr>
                <w:rFonts w:ascii="Calibri" w:hAnsi="Calibri"/>
                <w:b w:val="0"/>
                <w:color w:val="17202A"/>
                <w:sz w:val="19"/>
              </w:rPr>
              <w:t>Capa de borde donde Cloudflare recibe y procesa tráfico.</w:t>
            </w:r>
          </w:p>
        </w:tc>
      </w:tr>
      <w:tr>
        <w:tc>
          <w:tcPr>
            <w:tcW w:type="dxa" w:w="2700"/>
            <w:tcMar>
              <w:top w:w="80" w:type="dxa"/>
              <w:start w:w="120" w:type="dxa"/>
              <w:bottom w:w="80" w:type="dxa"/>
              <w:end w:w="120" w:type="dxa"/>
            </w:tcMar>
            <w:vAlign w:val="center"/>
          </w:tcPr>
          <w:p>
            <w:pPr>
              <w:spacing w:before="0" w:after="0" w:line="276" w:lineRule="auto"/>
            </w:pPr>
            <w:r>
              <w:rPr>
                <w:rFonts w:ascii="Calibri" w:hAnsi="Calibri"/>
                <w:b w:val="0"/>
                <w:color w:val="17202A"/>
                <w:sz w:val="19"/>
              </w:rPr>
              <w:t>Health probe</w:t>
            </w:r>
          </w:p>
        </w:tc>
        <w:tc>
          <w:tcPr>
            <w:tcW w:type="dxa" w:w="6660"/>
            <w:tcMar>
              <w:top w:w="80" w:type="dxa"/>
              <w:start w:w="120" w:type="dxa"/>
              <w:bottom w:w="80" w:type="dxa"/>
              <w:end w:w="120" w:type="dxa"/>
            </w:tcMar>
            <w:vAlign w:val="center"/>
          </w:tcPr>
          <w:p>
            <w:pPr>
              <w:spacing w:before="0" w:after="0" w:line="276" w:lineRule="auto"/>
            </w:pPr>
            <w:r>
              <w:rPr>
                <w:rFonts w:ascii="Calibri" w:hAnsi="Calibri"/>
                <w:b w:val="0"/>
                <w:color w:val="17202A"/>
                <w:sz w:val="19"/>
              </w:rPr>
              <w:t>Petición de comprobación que determina si un origen está sano.</w:t>
            </w:r>
          </w:p>
        </w:tc>
      </w:tr>
      <w:tr>
        <w:tc>
          <w:tcPr>
            <w:tcW w:type="dxa" w:w="2700"/>
            <w:tcMar>
              <w:top w:w="80" w:type="dxa"/>
              <w:start w:w="120" w:type="dxa"/>
              <w:bottom w:w="80" w:type="dxa"/>
              <w:end w:w="120" w:type="dxa"/>
            </w:tcMar>
            <w:vAlign w:val="center"/>
          </w:tcPr>
          <w:p>
            <w:pPr>
              <w:spacing w:before="0" w:after="0" w:line="276" w:lineRule="auto"/>
            </w:pPr>
            <w:r>
              <w:rPr>
                <w:rFonts w:ascii="Calibri" w:hAnsi="Calibri"/>
                <w:b w:val="0"/>
                <w:color w:val="17202A"/>
                <w:sz w:val="19"/>
              </w:rPr>
              <w:t>Host header</w:t>
            </w:r>
          </w:p>
        </w:tc>
        <w:tc>
          <w:tcPr>
            <w:tcW w:type="dxa" w:w="6660"/>
            <w:tcMar>
              <w:top w:w="80" w:type="dxa"/>
              <w:start w:w="120" w:type="dxa"/>
              <w:bottom w:w="80" w:type="dxa"/>
              <w:end w:w="120" w:type="dxa"/>
            </w:tcMar>
            <w:vAlign w:val="center"/>
          </w:tcPr>
          <w:p>
            <w:pPr>
              <w:spacing w:before="0" w:after="0" w:line="276" w:lineRule="auto"/>
            </w:pPr>
            <w:r>
              <w:rPr>
                <w:rFonts w:ascii="Calibri" w:hAnsi="Calibri"/>
                <w:b w:val="0"/>
                <w:color w:val="17202A"/>
                <w:sz w:val="19"/>
              </w:rPr>
              <w:t>Cabecera HTTP que identifica el sitio solicitado al servidor.</w:t>
            </w:r>
          </w:p>
        </w:tc>
      </w:tr>
      <w:tr>
        <w:tc>
          <w:tcPr>
            <w:tcW w:type="dxa" w:w="2700"/>
            <w:tcMar>
              <w:top w:w="80" w:type="dxa"/>
              <w:start w:w="120" w:type="dxa"/>
              <w:bottom w:w="80" w:type="dxa"/>
              <w:end w:w="120" w:type="dxa"/>
            </w:tcMar>
            <w:vAlign w:val="center"/>
          </w:tcPr>
          <w:p>
            <w:pPr>
              <w:spacing w:before="0" w:after="0" w:line="276" w:lineRule="auto"/>
            </w:pPr>
            <w:r>
              <w:rPr>
                <w:rFonts w:ascii="Calibri" w:hAnsi="Calibri"/>
                <w:b w:val="0"/>
                <w:color w:val="17202A"/>
                <w:sz w:val="19"/>
              </w:rPr>
              <w:t>OCC</w:t>
            </w:r>
          </w:p>
        </w:tc>
        <w:tc>
          <w:tcPr>
            <w:tcW w:type="dxa" w:w="6660"/>
            <w:tcMar>
              <w:top w:w="80" w:type="dxa"/>
              <w:start w:w="120" w:type="dxa"/>
              <w:bottom w:w="80" w:type="dxa"/>
              <w:end w:w="120" w:type="dxa"/>
            </w:tcMar>
            <w:vAlign w:val="center"/>
          </w:tcPr>
          <w:p>
            <w:pPr>
              <w:spacing w:before="0" w:after="0" w:line="276" w:lineRule="auto"/>
            </w:pPr>
            <w:r>
              <w:rPr>
                <w:rFonts w:ascii="Calibri" w:hAnsi="Calibri"/>
                <w:b w:val="0"/>
                <w:color w:val="17202A"/>
                <w:sz w:val="19"/>
              </w:rPr>
              <w:t>APIs de comercio de SAP Commerce Cloud.</w:t>
            </w:r>
          </w:p>
        </w:tc>
      </w:tr>
      <w:tr>
        <w:tc>
          <w:tcPr>
            <w:tcW w:type="dxa" w:w="2700"/>
            <w:tcMar>
              <w:top w:w="80" w:type="dxa"/>
              <w:start w:w="120" w:type="dxa"/>
              <w:bottom w:w="80" w:type="dxa"/>
              <w:end w:w="120" w:type="dxa"/>
            </w:tcMar>
            <w:vAlign w:val="center"/>
          </w:tcPr>
          <w:p>
            <w:pPr>
              <w:spacing w:before="0" w:after="0" w:line="276" w:lineRule="auto"/>
            </w:pPr>
            <w:r>
              <w:rPr>
                <w:rFonts w:ascii="Calibri" w:hAnsi="Calibri"/>
                <w:b w:val="0"/>
                <w:color w:val="17202A"/>
                <w:sz w:val="19"/>
              </w:rPr>
              <w:t>Origin</w:t>
            </w:r>
          </w:p>
        </w:tc>
        <w:tc>
          <w:tcPr>
            <w:tcW w:type="dxa" w:w="6660"/>
            <w:tcMar>
              <w:top w:w="80" w:type="dxa"/>
              <w:start w:w="120" w:type="dxa"/>
              <w:bottom w:w="80" w:type="dxa"/>
              <w:end w:w="120" w:type="dxa"/>
            </w:tcMar>
            <w:vAlign w:val="center"/>
          </w:tcPr>
          <w:p>
            <w:pPr>
              <w:spacing w:before="0" w:after="0" w:line="276" w:lineRule="auto"/>
            </w:pPr>
            <w:r>
              <w:rPr>
                <w:rFonts w:ascii="Calibri" w:hAnsi="Calibri"/>
                <w:b w:val="0"/>
                <w:color w:val="17202A"/>
                <w:sz w:val="19"/>
              </w:rPr>
              <w:t>Sistema que genera la respuesta cuando el edge no la tiene.</w:t>
            </w:r>
          </w:p>
        </w:tc>
      </w:tr>
      <w:tr>
        <w:tc>
          <w:tcPr>
            <w:tcW w:type="dxa" w:w="2700"/>
            <w:tcMar>
              <w:top w:w="80" w:type="dxa"/>
              <w:start w:w="120" w:type="dxa"/>
              <w:bottom w:w="80" w:type="dxa"/>
              <w:end w:w="120" w:type="dxa"/>
            </w:tcMar>
            <w:vAlign w:val="center"/>
          </w:tcPr>
          <w:p>
            <w:pPr>
              <w:spacing w:before="0" w:after="0" w:line="276" w:lineRule="auto"/>
            </w:pPr>
            <w:r>
              <w:rPr>
                <w:rFonts w:ascii="Calibri" w:hAnsi="Calibri"/>
                <w:b w:val="0"/>
                <w:color w:val="17202A"/>
                <w:sz w:val="19"/>
              </w:rPr>
              <w:t>PoP</w:t>
            </w:r>
          </w:p>
        </w:tc>
        <w:tc>
          <w:tcPr>
            <w:tcW w:type="dxa" w:w="6660"/>
            <w:tcMar>
              <w:top w:w="80" w:type="dxa"/>
              <w:start w:w="120" w:type="dxa"/>
              <w:bottom w:w="80" w:type="dxa"/>
              <w:end w:w="120" w:type="dxa"/>
            </w:tcMar>
            <w:vAlign w:val="center"/>
          </w:tcPr>
          <w:p>
            <w:pPr>
              <w:spacing w:before="0" w:after="0" w:line="276" w:lineRule="auto"/>
            </w:pPr>
            <w:r>
              <w:rPr>
                <w:rFonts w:ascii="Calibri" w:hAnsi="Calibri"/>
                <w:b w:val="0"/>
                <w:color w:val="17202A"/>
                <w:sz w:val="19"/>
              </w:rPr>
              <w:t>Punto de presencia de la red distribuida.</w:t>
            </w:r>
          </w:p>
        </w:tc>
      </w:tr>
      <w:tr>
        <w:tc>
          <w:tcPr>
            <w:tcW w:type="dxa" w:w="2700"/>
            <w:tcMar>
              <w:top w:w="80" w:type="dxa"/>
              <w:start w:w="120" w:type="dxa"/>
              <w:bottom w:w="80" w:type="dxa"/>
              <w:end w:w="120" w:type="dxa"/>
            </w:tcMar>
            <w:vAlign w:val="center"/>
          </w:tcPr>
          <w:p>
            <w:pPr>
              <w:spacing w:before="0" w:after="0" w:line="276" w:lineRule="auto"/>
            </w:pPr>
            <w:r>
              <w:rPr>
                <w:rFonts w:ascii="Calibri" w:hAnsi="Calibri"/>
                <w:b w:val="0"/>
                <w:color w:val="17202A"/>
                <w:sz w:val="19"/>
              </w:rPr>
              <w:t>Proxy inverso</w:t>
            </w:r>
          </w:p>
        </w:tc>
        <w:tc>
          <w:tcPr>
            <w:tcW w:type="dxa" w:w="6660"/>
            <w:tcMar>
              <w:top w:w="80" w:type="dxa"/>
              <w:start w:w="120" w:type="dxa"/>
              <w:bottom w:w="80" w:type="dxa"/>
              <w:end w:w="120" w:type="dxa"/>
            </w:tcMar>
            <w:vAlign w:val="center"/>
          </w:tcPr>
          <w:p>
            <w:pPr>
              <w:spacing w:before="0" w:after="0" w:line="276" w:lineRule="auto"/>
            </w:pPr>
            <w:r>
              <w:rPr>
                <w:rFonts w:ascii="Calibri" w:hAnsi="Calibri"/>
                <w:b w:val="0"/>
                <w:color w:val="17202A"/>
                <w:sz w:val="19"/>
              </w:rPr>
              <w:t>Intermediario que recibe peticiones en nombre del origen.</w:t>
            </w:r>
          </w:p>
        </w:tc>
      </w:tr>
      <w:tr>
        <w:tc>
          <w:tcPr>
            <w:tcW w:type="dxa" w:w="2700"/>
            <w:tcMar>
              <w:top w:w="80" w:type="dxa"/>
              <w:start w:w="120" w:type="dxa"/>
              <w:bottom w:w="80" w:type="dxa"/>
              <w:end w:w="120" w:type="dxa"/>
            </w:tcMar>
            <w:vAlign w:val="center"/>
          </w:tcPr>
          <w:p>
            <w:pPr>
              <w:spacing w:before="0" w:after="0" w:line="276" w:lineRule="auto"/>
            </w:pPr>
            <w:r>
              <w:rPr>
                <w:rFonts w:ascii="Calibri" w:hAnsi="Calibri"/>
                <w:b w:val="0"/>
                <w:color w:val="17202A"/>
                <w:sz w:val="19"/>
              </w:rPr>
              <w:t>Purge</w:t>
            </w:r>
          </w:p>
        </w:tc>
        <w:tc>
          <w:tcPr>
            <w:tcW w:type="dxa" w:w="6660"/>
            <w:tcMar>
              <w:top w:w="80" w:type="dxa"/>
              <w:start w:w="120" w:type="dxa"/>
              <w:bottom w:w="80" w:type="dxa"/>
              <w:end w:w="120" w:type="dxa"/>
            </w:tcMar>
            <w:vAlign w:val="center"/>
          </w:tcPr>
          <w:p>
            <w:pPr>
              <w:spacing w:before="0" w:after="0" w:line="276" w:lineRule="auto"/>
            </w:pPr>
            <w:r>
              <w:rPr>
                <w:rFonts w:ascii="Calibri" w:hAnsi="Calibri"/>
                <w:b w:val="0"/>
                <w:color w:val="17202A"/>
                <w:sz w:val="19"/>
              </w:rPr>
              <w:t>Invalidación o eliminación de objetos de caché.</w:t>
            </w:r>
          </w:p>
        </w:tc>
      </w:tr>
      <w:tr>
        <w:tc>
          <w:tcPr>
            <w:tcW w:type="dxa" w:w="2700"/>
            <w:tcMar>
              <w:top w:w="80" w:type="dxa"/>
              <w:start w:w="120" w:type="dxa"/>
              <w:bottom w:w="80" w:type="dxa"/>
              <w:end w:w="120" w:type="dxa"/>
            </w:tcMar>
            <w:vAlign w:val="center"/>
          </w:tcPr>
          <w:p>
            <w:pPr>
              <w:spacing w:before="0" w:after="0" w:line="276" w:lineRule="auto"/>
            </w:pPr>
            <w:r>
              <w:rPr>
                <w:rFonts w:ascii="Calibri" w:hAnsi="Calibri"/>
                <w:b w:val="0"/>
                <w:color w:val="17202A"/>
                <w:sz w:val="19"/>
              </w:rPr>
              <w:t>Redirect</w:t>
            </w:r>
          </w:p>
        </w:tc>
        <w:tc>
          <w:tcPr>
            <w:tcW w:type="dxa" w:w="6660"/>
            <w:tcMar>
              <w:top w:w="80" w:type="dxa"/>
              <w:start w:w="120" w:type="dxa"/>
              <w:bottom w:w="80" w:type="dxa"/>
              <w:end w:w="120" w:type="dxa"/>
            </w:tcMar>
            <w:vAlign w:val="center"/>
          </w:tcPr>
          <w:p>
            <w:pPr>
              <w:spacing w:before="0" w:after="0" w:line="276" w:lineRule="auto"/>
            </w:pPr>
            <w:r>
              <w:rPr>
                <w:rFonts w:ascii="Calibri" w:hAnsi="Calibri"/>
                <w:b w:val="0"/>
                <w:color w:val="17202A"/>
                <w:sz w:val="19"/>
              </w:rPr>
              <w:t>Respuesta 3xx que ordena al cliente solicitar otra URL.</w:t>
            </w:r>
          </w:p>
        </w:tc>
      </w:tr>
      <w:tr>
        <w:tc>
          <w:tcPr>
            <w:tcW w:type="dxa" w:w="2700"/>
            <w:tcMar>
              <w:top w:w="80" w:type="dxa"/>
              <w:start w:w="120" w:type="dxa"/>
              <w:bottom w:w="80" w:type="dxa"/>
              <w:end w:w="120" w:type="dxa"/>
            </w:tcMar>
            <w:vAlign w:val="center"/>
          </w:tcPr>
          <w:p>
            <w:pPr>
              <w:spacing w:before="0" w:after="0" w:line="276" w:lineRule="auto"/>
            </w:pPr>
            <w:r>
              <w:rPr>
                <w:rFonts w:ascii="Calibri" w:hAnsi="Calibri"/>
                <w:b w:val="0"/>
                <w:color w:val="17202A"/>
                <w:sz w:val="19"/>
              </w:rPr>
              <w:t>Rewrite</w:t>
            </w:r>
          </w:p>
        </w:tc>
        <w:tc>
          <w:tcPr>
            <w:tcW w:type="dxa" w:w="6660"/>
            <w:tcMar>
              <w:top w:w="80" w:type="dxa"/>
              <w:start w:w="120" w:type="dxa"/>
              <w:bottom w:w="80" w:type="dxa"/>
              <w:end w:w="120" w:type="dxa"/>
            </w:tcMar>
            <w:vAlign w:val="center"/>
          </w:tcPr>
          <w:p>
            <w:pPr>
              <w:spacing w:before="0" w:after="0" w:line="276" w:lineRule="auto"/>
            </w:pPr>
            <w:r>
              <w:rPr>
                <w:rFonts w:ascii="Calibri" w:hAnsi="Calibri"/>
                <w:b w:val="0"/>
                <w:color w:val="17202A"/>
                <w:sz w:val="19"/>
              </w:rPr>
              <w:t>Cambio interno de URI sin exigir una nueva URL visible.</w:t>
            </w:r>
          </w:p>
        </w:tc>
      </w:tr>
      <w:tr>
        <w:tc>
          <w:tcPr>
            <w:tcW w:type="dxa" w:w="2700"/>
            <w:tcMar>
              <w:top w:w="80" w:type="dxa"/>
              <w:start w:w="120" w:type="dxa"/>
              <w:bottom w:w="80" w:type="dxa"/>
              <w:end w:w="120" w:type="dxa"/>
            </w:tcMar>
            <w:vAlign w:val="center"/>
          </w:tcPr>
          <w:p>
            <w:pPr>
              <w:spacing w:before="0" w:after="0" w:line="276" w:lineRule="auto"/>
            </w:pPr>
            <w:r>
              <w:rPr>
                <w:rFonts w:ascii="Calibri" w:hAnsi="Calibri"/>
                <w:b w:val="0"/>
                <w:color w:val="17202A"/>
                <w:sz w:val="19"/>
              </w:rPr>
              <w:t>SNI</w:t>
            </w:r>
          </w:p>
        </w:tc>
        <w:tc>
          <w:tcPr>
            <w:tcW w:type="dxa" w:w="6660"/>
            <w:tcMar>
              <w:top w:w="80" w:type="dxa"/>
              <w:start w:w="120" w:type="dxa"/>
              <w:bottom w:w="80" w:type="dxa"/>
              <w:end w:w="120" w:type="dxa"/>
            </w:tcMar>
            <w:vAlign w:val="center"/>
          </w:tcPr>
          <w:p>
            <w:pPr>
              <w:spacing w:before="0" w:after="0" w:line="276" w:lineRule="auto"/>
            </w:pPr>
            <w:r>
              <w:rPr>
                <w:rFonts w:ascii="Calibri" w:hAnsi="Calibri"/>
                <w:b w:val="0"/>
                <w:color w:val="17202A"/>
                <w:sz w:val="19"/>
              </w:rPr>
              <w:t>Nombre enviado durante TLS para seleccionar el certificado correcto.</w:t>
            </w:r>
          </w:p>
        </w:tc>
      </w:tr>
      <w:tr>
        <w:tc>
          <w:tcPr>
            <w:tcW w:type="dxa" w:w="2700"/>
            <w:tcMar>
              <w:top w:w="80" w:type="dxa"/>
              <w:start w:w="120" w:type="dxa"/>
              <w:bottom w:w="80" w:type="dxa"/>
              <w:end w:w="120" w:type="dxa"/>
            </w:tcMar>
            <w:vAlign w:val="center"/>
          </w:tcPr>
          <w:p>
            <w:pPr>
              <w:spacing w:before="0" w:after="0" w:line="276" w:lineRule="auto"/>
            </w:pPr>
            <w:r>
              <w:rPr>
                <w:rFonts w:ascii="Calibri" w:hAnsi="Calibri"/>
                <w:b w:val="0"/>
                <w:color w:val="17202A"/>
                <w:sz w:val="19"/>
              </w:rPr>
              <w:t>Tiered Cache</w:t>
            </w:r>
          </w:p>
        </w:tc>
        <w:tc>
          <w:tcPr>
            <w:tcW w:type="dxa" w:w="6660"/>
            <w:tcMar>
              <w:top w:w="80" w:type="dxa"/>
              <w:start w:w="120" w:type="dxa"/>
              <w:bottom w:w="80" w:type="dxa"/>
              <w:end w:w="120" w:type="dxa"/>
            </w:tcMar>
            <w:vAlign w:val="center"/>
          </w:tcPr>
          <w:p>
            <w:pPr>
              <w:spacing w:before="0" w:after="0" w:line="276" w:lineRule="auto"/>
            </w:pPr>
            <w:r>
              <w:rPr>
                <w:rFonts w:ascii="Calibri" w:hAnsi="Calibri"/>
                <w:b w:val="0"/>
                <w:color w:val="17202A"/>
                <w:sz w:val="19"/>
              </w:rPr>
              <w:t>Jerarquía de caché que concentra misses antes del origen.</w:t>
            </w:r>
          </w:p>
        </w:tc>
      </w:tr>
      <w:tr>
        <w:tc>
          <w:tcPr>
            <w:tcW w:type="dxa" w:w="2700"/>
            <w:tcMar>
              <w:top w:w="80" w:type="dxa"/>
              <w:start w:w="120" w:type="dxa"/>
              <w:bottom w:w="80" w:type="dxa"/>
              <w:end w:w="120" w:type="dxa"/>
            </w:tcMar>
            <w:vAlign w:val="center"/>
          </w:tcPr>
          <w:p>
            <w:pPr>
              <w:spacing w:before="0" w:after="0" w:line="276" w:lineRule="auto"/>
            </w:pPr>
            <w:r>
              <w:rPr>
                <w:rFonts w:ascii="Calibri" w:hAnsi="Calibri"/>
                <w:b w:val="0"/>
                <w:color w:val="17202A"/>
                <w:sz w:val="19"/>
              </w:rPr>
              <w:t>TTL</w:t>
            </w:r>
          </w:p>
        </w:tc>
        <w:tc>
          <w:tcPr>
            <w:tcW w:type="dxa" w:w="6660"/>
            <w:tcMar>
              <w:top w:w="80" w:type="dxa"/>
              <w:start w:w="120" w:type="dxa"/>
              <w:bottom w:w="80" w:type="dxa"/>
              <w:end w:w="120" w:type="dxa"/>
            </w:tcMar>
            <w:vAlign w:val="center"/>
          </w:tcPr>
          <w:p>
            <w:pPr>
              <w:spacing w:before="0" w:after="0" w:line="276" w:lineRule="auto"/>
            </w:pPr>
            <w:r>
              <w:rPr>
                <w:rFonts w:ascii="Calibri" w:hAnsi="Calibri"/>
                <w:b w:val="0"/>
                <w:color w:val="17202A"/>
                <w:sz w:val="19"/>
              </w:rPr>
              <w:t>Tiempo durante el que un objeto se considera fresco.</w:t>
            </w:r>
          </w:p>
        </w:tc>
      </w:tr>
      <w:tr>
        <w:tc>
          <w:tcPr>
            <w:tcW w:type="dxa" w:w="2700"/>
            <w:tcMar>
              <w:top w:w="80" w:type="dxa"/>
              <w:start w:w="120" w:type="dxa"/>
              <w:bottom w:w="80" w:type="dxa"/>
              <w:end w:w="120" w:type="dxa"/>
            </w:tcMar>
            <w:vAlign w:val="center"/>
          </w:tcPr>
          <w:p>
            <w:pPr>
              <w:spacing w:before="0" w:after="0" w:line="276" w:lineRule="auto"/>
            </w:pPr>
            <w:r>
              <w:rPr>
                <w:rFonts w:ascii="Calibri" w:hAnsi="Calibri"/>
                <w:b w:val="0"/>
                <w:color w:val="17202A"/>
                <w:sz w:val="19"/>
              </w:rPr>
              <w:t>WAF</w:t>
            </w:r>
          </w:p>
        </w:tc>
        <w:tc>
          <w:tcPr>
            <w:tcW w:type="dxa" w:w="6660"/>
            <w:tcMar>
              <w:top w:w="80" w:type="dxa"/>
              <w:start w:w="120" w:type="dxa"/>
              <w:bottom w:w="80" w:type="dxa"/>
              <w:end w:w="120" w:type="dxa"/>
            </w:tcMar>
            <w:vAlign w:val="center"/>
          </w:tcPr>
          <w:p>
            <w:pPr>
              <w:spacing w:before="0" w:after="0" w:line="276" w:lineRule="auto"/>
            </w:pPr>
            <w:r>
              <w:rPr>
                <w:rFonts w:ascii="Calibri" w:hAnsi="Calibri"/>
                <w:b w:val="0"/>
                <w:color w:val="17202A"/>
                <w:sz w:val="19"/>
              </w:rPr>
              <w:t>Cortafuegos de aplicación web que inspecciona peticiones HTTP.</w:t>
            </w:r>
          </w:p>
        </w:tc>
      </w:tr>
    </w:tbl>
    <w:p>
      <w:pPr>
        <w:spacing w:before="0" w:after="40"/>
      </w:pPr>
    </w:p>
    <w:p>
      <w:pPr>
        <w:pStyle w:val="Heading1"/>
      </w:pPr>
      <w:r>
        <w:rPr>
          <w:rFonts w:ascii="Calibri" w:hAnsi="Calibri"/>
          <w:b/>
          <w:color w:val="2E74B5"/>
          <w:sz w:val="32"/>
        </w:rPr>
        <w:t>Checklist de preparación personal</w:t>
      </w:r>
    </w:p>
    <w:p>
      <w:pPr>
        <w:numPr>
          <w:ilvl w:val="0"/>
          <w:numId w:val="10"/>
        </w:numPr>
      </w:pPr>
      <w:r>
        <w:rPr>
          <w:rFonts w:ascii="Calibri" w:hAnsi="Calibri"/>
          <w:b w:val="0"/>
          <w:color w:val="17202A"/>
          <w:sz w:val="22"/>
        </w:rPr>
        <w:t>Puedo dibujar la arquitectura actual y la objetivo.</w:t>
      </w:r>
    </w:p>
    <w:p>
      <w:pPr>
        <w:numPr>
          <w:ilvl w:val="0"/>
          <w:numId w:val="10"/>
        </w:numPr>
      </w:pPr>
      <w:r>
        <w:rPr>
          <w:rFonts w:ascii="Calibri" w:hAnsi="Calibri"/>
          <w:b w:val="0"/>
          <w:color w:val="17202A"/>
          <w:sz w:val="22"/>
        </w:rPr>
        <w:t>Sé explicar Proxied frente a DNS only.</w:t>
      </w:r>
    </w:p>
    <w:p>
      <w:pPr>
        <w:numPr>
          <w:ilvl w:val="0"/>
          <w:numId w:val="10"/>
        </w:numPr>
      </w:pPr>
      <w:r>
        <w:rPr>
          <w:rFonts w:ascii="Calibri" w:hAnsi="Calibri"/>
          <w:b w:val="0"/>
          <w:color w:val="17202A"/>
          <w:sz w:val="22"/>
        </w:rPr>
        <w:t>Entiendo las dos conexiones TLS.</w:t>
      </w:r>
    </w:p>
    <w:p>
      <w:pPr>
        <w:numPr>
          <w:ilvl w:val="0"/>
          <w:numId w:val="10"/>
        </w:numPr>
      </w:pPr>
      <w:r>
        <w:rPr>
          <w:rFonts w:ascii="Calibri" w:hAnsi="Calibri"/>
          <w:b w:val="0"/>
          <w:color w:val="17202A"/>
          <w:sz w:val="22"/>
        </w:rPr>
        <w:t xml:space="preserve">Puedo interpretar </w:t>
      </w:r>
      <w:r>
        <w:rPr>
          <w:rFonts w:ascii="Courier New" w:hAnsi="Courier New"/>
          <w:color w:val="1F4D78"/>
          <w:sz w:val="21"/>
          <w:shd w:fill="EEF2F6"/>
        </w:rPr>
        <w:t>CF-Cache-Status</w:t>
      </w:r>
      <w:r>
        <w:rPr>
          <w:rFonts w:ascii="Calibri" w:hAnsi="Calibri"/>
          <w:b w:val="0"/>
          <w:color w:val="17202A"/>
          <w:sz w:val="22"/>
        </w:rPr>
        <w:t>.</w:t>
      </w:r>
    </w:p>
    <w:p>
      <w:pPr>
        <w:numPr>
          <w:ilvl w:val="0"/>
          <w:numId w:val="10"/>
        </w:numPr>
      </w:pPr>
      <w:r>
        <w:rPr>
          <w:rFonts w:ascii="Calibri" w:hAnsi="Calibri"/>
          <w:b w:val="0"/>
          <w:color w:val="17202A"/>
          <w:sz w:val="22"/>
        </w:rPr>
        <w:t>Sé por qué carrito, checkout y cuenta no se cachean.</w:t>
      </w:r>
    </w:p>
    <w:p>
      <w:pPr>
        <w:numPr>
          <w:ilvl w:val="0"/>
          <w:numId w:val="10"/>
        </w:numPr>
      </w:pPr>
      <w:r>
        <w:rPr>
          <w:rFonts w:ascii="Calibri" w:hAnsi="Calibri"/>
          <w:b w:val="0"/>
          <w:color w:val="17202A"/>
          <w:sz w:val="22"/>
        </w:rPr>
        <w:t>Distingo Smart Tiered Cache de Regional Tiered Cache.</w:t>
      </w:r>
    </w:p>
    <w:p>
      <w:pPr>
        <w:numPr>
          <w:ilvl w:val="0"/>
          <w:numId w:val="10"/>
        </w:numPr>
      </w:pPr>
      <w:r>
        <w:rPr>
          <w:rFonts w:ascii="Calibri" w:hAnsi="Calibri"/>
          <w:b w:val="0"/>
          <w:color w:val="17202A"/>
          <w:sz w:val="22"/>
        </w:rPr>
        <w:t>Sé enumerar los gaps principales de Business.</w:t>
      </w:r>
    </w:p>
    <w:p>
      <w:pPr>
        <w:numPr>
          <w:ilvl w:val="0"/>
          <w:numId w:val="10"/>
        </w:numPr>
      </w:pPr>
      <w:r>
        <w:rPr>
          <w:rFonts w:ascii="Calibri" w:hAnsi="Calibri"/>
          <w:b w:val="0"/>
          <w:color w:val="17202A"/>
          <w:sz w:val="22"/>
        </w:rPr>
        <w:t>Puedo explicar redirect, rewrite y selección de origen.</w:t>
      </w:r>
    </w:p>
    <w:p>
      <w:pPr>
        <w:numPr>
          <w:ilvl w:val="0"/>
          <w:numId w:val="10"/>
        </w:numPr>
      </w:pPr>
      <w:r>
        <w:rPr>
          <w:rFonts w:ascii="Calibri" w:hAnsi="Calibri"/>
          <w:b w:val="0"/>
          <w:color w:val="17202A"/>
          <w:sz w:val="22"/>
        </w:rPr>
        <w:t>Sé qué revisar en Host, SNI y certificados.</w:t>
      </w:r>
    </w:p>
    <w:p>
      <w:pPr>
        <w:numPr>
          <w:ilvl w:val="0"/>
          <w:numId w:val="10"/>
        </w:numPr>
      </w:pPr>
      <w:r>
        <w:rPr>
          <w:rFonts w:ascii="Calibri" w:hAnsi="Calibri"/>
          <w:b w:val="0"/>
          <w:color w:val="17202A"/>
          <w:sz w:val="22"/>
        </w:rPr>
        <w:t>Puedo proponer un cutover y un rollback.</w:t>
      </w:r>
    </w:p>
    <w:p>
      <w:pPr>
        <w:numPr>
          <w:ilvl w:val="0"/>
          <w:numId w:val="10"/>
        </w:numPr>
      </w:pPr>
      <w:r>
        <w:rPr>
          <w:rFonts w:ascii="Calibri" w:hAnsi="Calibri"/>
          <w:b w:val="0"/>
          <w:color w:val="17202A"/>
          <w:sz w:val="22"/>
        </w:rPr>
        <w:t>Sé qué métricas comparar antes y después.</w:t>
      </w:r>
    </w:p>
    <w:p>
      <w:pPr>
        <w:pStyle w:val="Heading1"/>
      </w:pPr>
      <w:r>
        <w:rPr>
          <w:rFonts w:ascii="Calibri" w:hAnsi="Calibri"/>
          <w:b/>
          <w:color w:val="2E74B5"/>
          <w:sz w:val="32"/>
        </w:rPr>
        <w:t>Fuentes</w:t>
      </w:r>
    </w:p>
    <w:p>
      <w:r>
        <w:rPr>
          <w:rFonts w:ascii="Calibri" w:hAnsi="Calibri"/>
          <w:b w:val="0"/>
          <w:color w:val="17202A"/>
          <w:sz w:val="22"/>
        </w:rPr>
        <w:t>El catálogo completo y actualizado se entrega en el paquete NotebookLM. Las fuentes principales son documentación oficial de Cloudflare sobre DNS, SSL, Cache Rules, Tiered Cache, purgas, WAF, bots, reglas, planes y soporte; documentación oficial de Microsoft sobre Azure Front Door; y documentación oficial de SAP Commerce Cloud sobre OCC, caché, endpoints e IP Filter Sets.</w:t>
      </w:r>
    </w:p>
    <w:p>
      <w:r>
        <w:rPr>
          <w:rFonts w:ascii="Calibri" w:hAnsi="Calibri"/>
          <w:b w:val="0"/>
          <w:color w:val="17202A"/>
          <w:sz w:val="22"/>
        </w:rPr>
        <w:t>Las URLs se encuentran en el documento “Fuentes oficiales del curso Cloudflare para Conforama”, revisado el 19 de julio de 2026.</w:t>
      </w:r>
    </w:p>
    <w:sectPr w:rsidR="00FC693F" w:rsidRPr="0006063C" w:rsidSect="00034616">
      <w:headerReference w:type="default" r:id="rId9"/>
      <w:footerReference w:type="default" r:id="rId10"/>
      <w:pgSz w:w="12240" w:h="15840"/>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spacing w:before="0"/>
      <w:jc w:val="right"/>
    </w:pPr>
    <w:r>
      <w:rPr>
        <w:rFonts w:ascii="Calibri" w:hAnsi="Calibri"/>
        <w:color w:val="667085"/>
        <w:sz w:val="17"/>
      </w:rPr>
      <w:t xml:space="preserve">Página </w:t>
    </w:r>
    <w:r>
      <w:fldChar w:fldCharType="begin"/>
      <w:instrText xml:space="preserve">PAGE</w:instrText>
      <w:fldChar w:fldCharType="separate"/>
      <w:t>1</w: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spacing w:after="0"/>
      <w:jc w:val="left"/>
      <w:pBdr>
        <w:bottom w:val="single" w:sz="4" w:space="4" w:color="D8DEE6"/>
      </w:pBdr>
    </w:pPr>
    <w:r>
      <w:rPr>
        <w:rFonts w:ascii="Calibri" w:hAnsi="Calibri"/>
        <w:b/>
        <w:color w:val="667085"/>
        <w:sz w:val="17"/>
      </w:rPr>
      <w:t>Curso Cloudflare para Conforama</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abstractNum w:abstractNumId="9">
    <w:multiLevelType w:val="singleLevel"/>
    <w:lvl w:ilvl="0">
      <w:start w:val="1"/>
      <w:numFmt w:val="bullet"/>
      <w:lvlText w:val="•"/>
      <w:lvlJc w:val="left"/>
      <w:pPr>
        <w:tabs>
          <w:tab w:val="num" w:pos="540"/>
        </w:tabs>
        <w:ind w:left="540" w:hanging="270"/>
        <w:spacing w:after="80" w:line="300" w:lineRule="auto"/>
      </w:pPr>
      <w:rPr>
        <w:rFonts w:ascii="Calibri" w:hAnsi="Calibri"/>
      </w:rPr>
    </w:lvl>
  </w:abstractNum>
  <w:num w:numId="10">
    <w:abstractNumId w:val="9"/>
  </w:num>
  <w:abstractNum w:abstractNumId="10">
    <w:multiLevelType w:val="singleLevel"/>
    <w:lvl w:ilvl="0">
      <w:start w:val="1"/>
      <w:numFmt w:val="bullet"/>
      <w:lvlText w:val="☐"/>
      <w:lvlJc w:val="left"/>
      <w:pPr>
        <w:tabs>
          <w:tab w:val="num" w:pos="540"/>
        </w:tabs>
        <w:ind w:left="540" w:hanging="270"/>
        <w:spacing w:after="80" w:line="300" w:lineRule="auto"/>
      </w:pPr>
      <w:rPr>
        <w:rFonts w:ascii="Calibri" w:hAnsi="Calibri"/>
      </w:rPr>
    </w:lvl>
  </w:abstractNum>
  <w:num w:numId="11">
    <w:abstractNumId w:val="10"/>
  </w:num>
  <w:abstractNum w:abstractNumId="11">
    <w:multiLevelType w:val="singleLevel"/>
    <w:lvl w:ilvl="0">
      <w:start w:val="1"/>
      <w:numFmt w:val="decimal"/>
      <w:lvlText w:val="%1."/>
      <w:lvlJc w:val="left"/>
      <w:pPr>
        <w:tabs>
          <w:tab w:val="num" w:pos="540"/>
        </w:tabs>
        <w:ind w:left="540" w:hanging="270"/>
        <w:spacing w:after="80" w:line="300" w:lineRule="auto"/>
      </w:pPr>
      <w:rPr>
        <w:rFonts w:ascii="Calibri" w:hAnsi="Calibri"/>
      </w:rPr>
    </w:lvl>
  </w:abstractNum>
  <w:num w:numId="12">
    <w:abstractNumId w:val="11"/>
  </w:num>
  <w:abstractNum w:abstractNumId="12">
    <w:multiLevelType w:val="singleLevel"/>
    <w:lvl w:ilvl="0">
      <w:start w:val="1"/>
      <w:numFmt w:val="decimal"/>
      <w:lvlText w:val="%1."/>
      <w:lvlJc w:val="left"/>
      <w:pPr>
        <w:tabs>
          <w:tab w:val="num" w:pos="540"/>
        </w:tabs>
        <w:ind w:left="540" w:hanging="270"/>
        <w:spacing w:after="80" w:line="300" w:lineRule="auto"/>
      </w:pPr>
      <w:rPr>
        <w:rFonts w:ascii="Calibri" w:hAnsi="Calibri"/>
      </w:rPr>
    </w:lvl>
  </w:abstractNum>
  <w:num w:numId="13">
    <w:abstractNumId w:val="12"/>
  </w:num>
  <w:abstractNum w:abstractNumId="13">
    <w:multiLevelType w:val="singleLevel"/>
    <w:lvl w:ilvl="0">
      <w:start w:val="1"/>
      <w:numFmt w:val="decimal"/>
      <w:lvlText w:val="%1."/>
      <w:lvlJc w:val="left"/>
      <w:pPr>
        <w:tabs>
          <w:tab w:val="num" w:pos="540"/>
        </w:tabs>
        <w:ind w:left="540" w:hanging="270"/>
        <w:spacing w:after="80" w:line="300" w:lineRule="auto"/>
      </w:pPr>
      <w:rPr>
        <w:rFonts w:ascii="Calibri" w:hAnsi="Calibri"/>
      </w:rPr>
    </w:lvl>
  </w:abstractNum>
  <w:num w:numId="14">
    <w:abstractNumId w:val="13"/>
  </w:num>
  <w:abstractNum w:abstractNumId="14">
    <w:multiLevelType w:val="singleLevel"/>
    <w:lvl w:ilvl="0">
      <w:start w:val="1"/>
      <w:numFmt w:val="decimal"/>
      <w:lvlText w:val="%1."/>
      <w:lvlJc w:val="left"/>
      <w:pPr>
        <w:tabs>
          <w:tab w:val="num" w:pos="540"/>
        </w:tabs>
        <w:ind w:left="540" w:hanging="270"/>
        <w:spacing w:after="80" w:line="300" w:lineRule="auto"/>
      </w:pPr>
      <w:rPr>
        <w:rFonts w:ascii="Calibri" w:hAnsi="Calibri"/>
      </w:rPr>
    </w:lvl>
  </w:abstractNum>
  <w:num w:numId="15">
    <w:abstractNumId w:val="14"/>
  </w:num>
  <w:abstractNum w:abstractNumId="15">
    <w:multiLevelType w:val="singleLevel"/>
    <w:lvl w:ilvl="0">
      <w:start w:val="1"/>
      <w:numFmt w:val="decimal"/>
      <w:lvlText w:val="%1."/>
      <w:lvlJc w:val="left"/>
      <w:pPr>
        <w:tabs>
          <w:tab w:val="num" w:pos="540"/>
        </w:tabs>
        <w:ind w:left="540" w:hanging="270"/>
        <w:spacing w:after="80" w:line="300" w:lineRule="auto"/>
      </w:pPr>
      <w:rPr>
        <w:rFonts w:ascii="Calibri" w:hAnsi="Calibri"/>
      </w:rPr>
    </w:lvl>
  </w:abstractNum>
  <w:num w:numId="16">
    <w:abstractNumId w:val="15"/>
  </w:num>
  <w:abstractNum w:abstractNumId="16">
    <w:multiLevelType w:val="singleLevel"/>
    <w:lvl w:ilvl="0">
      <w:start w:val="1"/>
      <w:numFmt w:val="decimal"/>
      <w:lvlText w:val="%1."/>
      <w:lvlJc w:val="left"/>
      <w:pPr>
        <w:tabs>
          <w:tab w:val="num" w:pos="540"/>
        </w:tabs>
        <w:ind w:left="540" w:hanging="270"/>
        <w:spacing w:after="80" w:line="300" w:lineRule="auto"/>
      </w:pPr>
      <w:rPr>
        <w:rFonts w:ascii="Calibri" w:hAnsi="Calibri"/>
      </w:rPr>
    </w:lvl>
  </w:abstractNum>
  <w:num w:numId="17">
    <w:abstractNumId w:val="16"/>
  </w:num>
  <w:abstractNum w:abstractNumId="17">
    <w:multiLevelType w:val="singleLevel"/>
    <w:lvl w:ilvl="0">
      <w:start w:val="1"/>
      <w:numFmt w:val="decimal"/>
      <w:lvlText w:val="%1."/>
      <w:lvlJc w:val="left"/>
      <w:pPr>
        <w:tabs>
          <w:tab w:val="num" w:pos="540"/>
        </w:tabs>
        <w:ind w:left="540" w:hanging="270"/>
        <w:spacing w:after="80" w:line="300" w:lineRule="auto"/>
      </w:pPr>
      <w:rPr>
        <w:rFonts w:ascii="Calibri" w:hAnsi="Calibri"/>
      </w:rPr>
    </w:lvl>
  </w:abstractNum>
  <w:num w:numId="18">
    <w:abstractNumId w:val="17"/>
  </w:num>
  <w:abstractNum w:abstractNumId="18">
    <w:multiLevelType w:val="singleLevel"/>
    <w:lvl w:ilvl="0">
      <w:start w:val="1"/>
      <w:numFmt w:val="decimal"/>
      <w:lvlText w:val="%1."/>
      <w:lvlJc w:val="left"/>
      <w:pPr>
        <w:tabs>
          <w:tab w:val="num" w:pos="540"/>
        </w:tabs>
        <w:ind w:left="540" w:hanging="270"/>
        <w:spacing w:after="80" w:line="300" w:lineRule="auto"/>
      </w:pPr>
      <w:rPr>
        <w:rFonts w:ascii="Calibri" w:hAnsi="Calibri"/>
      </w:rPr>
    </w:lvl>
  </w:abstractNum>
  <w:num w:numId="19">
    <w:abstractNumId w:val="18"/>
  </w:num>
  <w:abstractNum w:abstractNumId="19">
    <w:multiLevelType w:val="singleLevel"/>
    <w:lvl w:ilvl="0">
      <w:start w:val="1"/>
      <w:numFmt w:val="decimal"/>
      <w:lvlText w:val="%1."/>
      <w:lvlJc w:val="left"/>
      <w:pPr>
        <w:tabs>
          <w:tab w:val="num" w:pos="540"/>
        </w:tabs>
        <w:ind w:left="540" w:hanging="270"/>
        <w:spacing w:after="80" w:line="300" w:lineRule="auto"/>
      </w:pPr>
      <w:rPr>
        <w:rFonts w:ascii="Calibri" w:hAnsi="Calibri"/>
      </w:rPr>
    </w:lvl>
  </w:abstractNum>
  <w:num w:numId="20">
    <w:abstractNumId w:val="19"/>
  </w:num>
  <w:abstractNum w:abstractNumId="20">
    <w:multiLevelType w:val="singleLevel"/>
    <w:lvl w:ilvl="0">
      <w:start w:val="1"/>
      <w:numFmt w:val="decimal"/>
      <w:lvlText w:val="%1."/>
      <w:lvlJc w:val="left"/>
      <w:pPr>
        <w:tabs>
          <w:tab w:val="num" w:pos="540"/>
        </w:tabs>
        <w:ind w:left="540" w:hanging="270"/>
        <w:spacing w:after="80" w:line="300" w:lineRule="auto"/>
      </w:pPr>
      <w:rPr>
        <w:rFonts w:ascii="Calibri" w:hAnsi="Calibri"/>
      </w:rPr>
    </w:lvl>
  </w:abstractNum>
  <w:num w:numId="21">
    <w:abstractNumId w:val="20"/>
  </w:num>
  <w:abstractNum w:abstractNumId="21">
    <w:multiLevelType w:val="singleLevel"/>
    <w:lvl w:ilvl="0">
      <w:start w:val="1"/>
      <w:numFmt w:val="decimal"/>
      <w:lvlText w:val="%1."/>
      <w:lvlJc w:val="left"/>
      <w:pPr>
        <w:tabs>
          <w:tab w:val="num" w:pos="540"/>
        </w:tabs>
        <w:ind w:left="540" w:hanging="270"/>
        <w:spacing w:after="80" w:line="300" w:lineRule="auto"/>
      </w:pPr>
      <w:rPr>
        <w:rFonts w:ascii="Calibri" w:hAnsi="Calibri"/>
      </w:rPr>
    </w:lvl>
  </w:abstractNum>
  <w:num w:numId="2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before="0" w:after="120" w:line="300" w:lineRule="auto"/>
    </w:pPr>
    <w:rPr>
      <w:rFonts w:ascii="Calibri" w:hAnsi="Calibri"/>
      <w:color w:val="17202A"/>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360" w:after="200"/>
      <w:outlineLvl w:val="0"/>
    </w:pPr>
    <w:rPr>
      <w:rFonts w:asciiTheme="majorHAnsi" w:eastAsiaTheme="majorEastAsia" w:hAnsiTheme="majorHAnsi" w:cstheme="majorBidi" w:ascii="Calibri" w:hAnsi="Calibri"/>
      <w:b/>
      <w:bCs/>
      <w:color w:val="2E74B5"/>
      <w:sz w:val="32"/>
      <w:szCs w:val="28"/>
    </w:rPr>
  </w:style>
  <w:style w:type="paragraph" w:styleId="Heading2">
    <w:name w:val="heading 2"/>
    <w:basedOn w:val="Normal"/>
    <w:next w:val="Normal"/>
    <w:link w:val="Heading2Char"/>
    <w:uiPriority w:val="9"/>
    <w:unhideWhenUsed/>
    <w:qFormat/>
    <w:rsid w:val="00FC693F"/>
    <w:pPr>
      <w:keepNext/>
      <w:keepLines/>
      <w:spacing w:before="280" w:after="140"/>
      <w:outlineLvl w:val="1"/>
    </w:pPr>
    <w:rPr>
      <w:rFonts w:asciiTheme="majorHAnsi" w:eastAsiaTheme="majorEastAsia" w:hAnsiTheme="majorHAnsi" w:cstheme="majorBidi" w:ascii="Calibri" w:hAnsi="Calibri"/>
      <w:b/>
      <w:bCs/>
      <w:color w:val="2E74B5"/>
      <w:sz w:val="26"/>
      <w:szCs w:val="26"/>
    </w:rPr>
  </w:style>
  <w:style w:type="paragraph" w:styleId="Heading3">
    <w:name w:val="heading 3"/>
    <w:basedOn w:val="Normal"/>
    <w:next w:val="Normal"/>
    <w:link w:val="Heading3Char"/>
    <w:uiPriority w:val="9"/>
    <w:unhideWhenUsed/>
    <w:qFormat/>
    <w:rsid w:val="00FC693F"/>
    <w:pPr>
      <w:keepNext/>
      <w:keepLines/>
      <w:spacing w:before="200" w:after="100"/>
      <w:outlineLvl w:val="2"/>
    </w:pPr>
    <w:rPr>
      <w:rFonts w:asciiTheme="majorHAnsi" w:eastAsiaTheme="majorEastAsia" w:hAnsiTheme="majorHAnsi" w:cstheme="majorBidi" w:ascii="Calibri" w:hAnsi="Calibri"/>
      <w:b/>
      <w:bCs/>
      <w:color w:val="1F4D78"/>
      <w:sz w:val="24"/>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 Id="rId11" Type="http://schemas.openxmlformats.org/officeDocument/2006/relationships/image" Target="media/image1.png"/><Relationship Id="rId12" Type="http://schemas.openxmlformats.org/officeDocument/2006/relationships/image" Target="media/image2.png"/><Relationship Id="rId13" Type="http://schemas.openxmlformats.org/officeDocument/2006/relationships/image" Target="media/image3.png"/><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Cloudflare para Conforama</dc:title>
  <dc:subject>Curso práctico aplicado a SAP Commerce y a la migración desde Azure Front Door</dc:subject>
  <dc:creator>Curso de formación Cloudflare para Conforama</dc:creator>
  <cp:keywords>Cloudflare, SAP Commerce, Azure Front Door, CDN, WAF, caché</cp:keywords>
  <dc:description>Generado a partir de documentación pública y contexto funcional anonimizado.</dc:description>
  <cp:lastModifiedBy/>
  <cp:revision>1</cp:revision>
  <dcterms:created xsi:type="dcterms:W3CDTF">2013-12-23T23:15:00Z</dcterms:created>
  <dcterms:modified xsi:type="dcterms:W3CDTF">2013-12-23T23:15:00Z</dcterms:modified>
  <cp:category/>
</cp:coreProperties>
</file>